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15" w:rsidRDefault="00DF5226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同心系列开放式理财产品（kun</w:t>
      </w:r>
      <w:r>
        <w:rPr>
          <w:rFonts w:asciiTheme="minorEastAsia" w:hAnsiTheme="minorEastAsia"/>
          <w:b/>
          <w:sz w:val="36"/>
          <w:u w:val="single"/>
        </w:rPr>
        <w:t>001</w:t>
      </w:r>
      <w:r>
        <w:rPr>
          <w:rFonts w:asciiTheme="minorEastAsia" w:hAnsiTheme="minorEastAsia" w:hint="eastAsia"/>
          <w:b/>
          <w:sz w:val="36"/>
          <w:u w:val="single"/>
        </w:rPr>
        <w:t>、kun</w:t>
      </w:r>
      <w:r>
        <w:rPr>
          <w:rFonts w:asciiTheme="minorEastAsia" w:hAnsiTheme="minorEastAsia"/>
          <w:b/>
          <w:sz w:val="36"/>
          <w:u w:val="single"/>
        </w:rPr>
        <w:t>002</w:t>
      </w:r>
      <w:r>
        <w:rPr>
          <w:rFonts w:asciiTheme="minorEastAsia" w:hAnsiTheme="minorEastAsia" w:hint="eastAsia"/>
          <w:b/>
          <w:sz w:val="36"/>
          <w:u w:val="single"/>
        </w:rPr>
        <w:t>、kun</w:t>
      </w:r>
      <w:r>
        <w:rPr>
          <w:rFonts w:asciiTheme="minorEastAsia" w:hAnsiTheme="minorEastAsia"/>
          <w:b/>
          <w:sz w:val="36"/>
          <w:u w:val="single"/>
        </w:rPr>
        <w:t>003</w:t>
      </w:r>
      <w:r>
        <w:rPr>
          <w:rFonts w:asciiTheme="minorEastAsia" w:hAnsiTheme="minorEastAsia" w:hint="eastAsia"/>
          <w:b/>
          <w:sz w:val="36"/>
          <w:u w:val="single"/>
        </w:rPr>
        <w:t>、kun</w:t>
      </w:r>
      <w:r>
        <w:rPr>
          <w:rFonts w:asciiTheme="minorEastAsia" w:hAnsiTheme="minorEastAsia"/>
          <w:b/>
          <w:sz w:val="36"/>
          <w:u w:val="single"/>
        </w:rPr>
        <w:t>004</w:t>
      </w:r>
      <w:r>
        <w:rPr>
          <w:rFonts w:asciiTheme="minorEastAsia" w:hAnsiTheme="minorEastAsia" w:hint="eastAsia"/>
          <w:b/>
          <w:sz w:val="36"/>
          <w:u w:val="single"/>
        </w:rPr>
        <w:t>）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085315" w:rsidRDefault="00DF5226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2020年6月</w:t>
      </w:r>
    </w:p>
    <w:p w:rsidR="00085315" w:rsidRDefault="00DF5226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085315" w:rsidRDefault="0008531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85315" w:rsidRDefault="00DF522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同心系列开放式理财产品（kun001、kun002、kun003、kun004）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085315" w:rsidRDefault="00DF5226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085315">
        <w:trPr>
          <w:trHeight w:val="64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年5月1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085315">
        <w:trPr>
          <w:trHeight w:val="64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085315">
        <w:trPr>
          <w:trHeight w:val="65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1115517000103</w:t>
            </w:r>
          </w:p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  <w:p w:rsidR="00085315" w:rsidRDefault="00DF5226">
            <w:pPr>
              <w:spacing w:line="360" w:lineRule="auto"/>
              <w:ind w:firstLineChars="350" w:firstLine="9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1115517000106</w:t>
            </w:r>
          </w:p>
        </w:tc>
      </w:tr>
      <w:tr w:rsidR="00085315">
        <w:trPr>
          <w:trHeight w:val="64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1037924万元</w:t>
            </w:r>
          </w:p>
        </w:tc>
      </w:tr>
      <w:tr w:rsidR="00085315">
        <w:trPr>
          <w:trHeight w:val="64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58%</w:t>
            </w:r>
            <w:r>
              <w:rPr>
                <w:rFonts w:asciiTheme="minorEastAsia" w:hAnsi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4.50</w:t>
            </w:r>
            <w:r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085315">
        <w:trPr>
          <w:trHeight w:val="485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085315">
        <w:trPr>
          <w:trHeight w:val="650"/>
        </w:trPr>
        <w:tc>
          <w:tcPr>
            <w:tcW w:w="4180" w:type="dxa"/>
            <w:vAlign w:val="center"/>
          </w:tcPr>
          <w:p w:rsidR="00085315" w:rsidRDefault="00DF5226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085315" w:rsidRDefault="00DF5226" w:rsidP="00260F7D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132.4</w:t>
            </w:r>
            <w:r w:rsidR="00260F7D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085315" w:rsidRDefault="0008531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085315" w:rsidRDefault="00DF522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"/>
        <w:gridCol w:w="3205"/>
        <w:gridCol w:w="1528"/>
        <w:gridCol w:w="1055"/>
        <w:gridCol w:w="1033"/>
      </w:tblGrid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145240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399.75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102000336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20衢州国资MTN001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2982.83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102000597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20甘公投MTN002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2000.72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163260.sh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海国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7075.13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200205.ib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20国开05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1060.42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102001243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20陕天然气MTN001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2000.38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112402.sz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16华股01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1003.16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132022.sh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8.90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102000950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20豫交投MTN002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2000.65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102000990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20通用MTN001B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5000.46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2028020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20兴业银行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4000.28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102000700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20中原环保MTN001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5000.42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102000298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20广新控股MTN002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120004.sz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19.21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19青岛银行债01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4835.24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101901557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19盐城城南MTN003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1880072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18温岭债01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1961.79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136377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3639.23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102000195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163228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20渝水01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974.24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4.20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101900669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顺义国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5819.19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1920057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19齐鲁银行绿色金融债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5993.91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1780327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昆银桥债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2564.19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163955.sh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锡公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1820088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18泉州银行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5024.62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101901603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19巨化MTN002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5000.12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101760057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17徐新国资MTN002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3076.99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101800261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即墨旅投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3009.52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1780130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17即墨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旅投债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2505.10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1880233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18温岭债02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3102.44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101900575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19九江城投MTN002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4833.60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143739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18广开02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5120.08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102000214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20湖北广电(疫情防控债)MTN001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102000319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南通国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101900405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19常熟城投MTN001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4035.23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1680219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16芜湖交投专项债01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2826.48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102000778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20芜湖建设MTN003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3000.29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102000847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鄞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城MTN001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101658046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苏元禾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2956.03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101900170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19淮安交通MTN001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1043.44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136284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182.95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031800070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盐城国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101800597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18临空投MTN001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1982.90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031900916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19漳州城投PPN001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101900525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19盐城城南MTN002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155259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19中原01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4999.64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102000294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20南昌工业(疫情防控债)MTN001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101901411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广州金控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1966.24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136915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18中大Y1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2000.57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101901112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19苏国泰MTN001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101800763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18舟山旅游MTN002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2087.31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031800012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18滨州城投PPN001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4680.00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101901473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19建安投资MTN004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102000256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20太湖新城MTN001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136315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16远东三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4999.73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102000165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20泉州交通MTN001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19嘉兴现代MTN002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1009.47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101662075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16武清国资MTN002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3867.06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031900870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19龙城发展PPN004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1921046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19长沙农商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997.99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136763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16张江02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149041.sz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20长江01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5006.60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1680052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16广州地铁可续期债01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4755.97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101901084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19海宁资产MTN002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143205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福投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4986.05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011902530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19涪陵新城SCP002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031900869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19临沂投资PPN001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浦发转债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677.10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031800154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18西永PPN001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10201.52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101901432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19南昌工业MTN002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4000.13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155997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建集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4999.60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烽火转债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13.50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032000108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20龙城发展PPN001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101900446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19南昌工业MTN001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5022.57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143389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永钢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101900303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19紫金矿业MTN001B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19华发集团MTN005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127413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PR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交投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863.62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1580193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洪轨债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10064.34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19甘公投MTN004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5968.58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101753013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17今世缘MTN002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2872.79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162728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城03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1980290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19吴江02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3999.47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2021005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20青岛农商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2958.90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031800218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18义乌国资PPN001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4691.00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101762030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2812.67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118738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1004.29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101571012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15锡新区MTN001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2977.48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1080107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高铁债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39.90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1380386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13武清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国投债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1030.21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031800537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18盐城资产PPN001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101800769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18衢州国资MTN001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5072.15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101901450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19宜春发展MTN001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132022.sh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163042.sh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19国资01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3088.59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151974.sh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19宁东01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5308.91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200205.ib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20国开05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11004.40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0.80%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102000599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鄂联投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2943.63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149159.sz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湘路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200004.ib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20附息国债04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3881.90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19宿迁水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6986.02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031900116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19滁州城投PPN001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031900044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19江东控股PPN001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浦发转债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377.10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149003.sz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产控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136536.sh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521.41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190010.ib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19附息国债10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8920.68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102000343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20蓝星MTN001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10033.19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102000667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20珠海港MTN002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4000.41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19中电EB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112736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屿Y2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101762030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1908.63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143026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18中储01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999.80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143075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17重汽01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1423.78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114490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19潍坊03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1421.84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101900483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19洪市政MTN001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4771.50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155310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19汇鸿01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5769.49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101900223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19川能投MTN002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4030.13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111972542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19甘肃银行CD090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4872.39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128080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顺丰转债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101901417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19青岛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园MTN001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5000.15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155014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18铁龙01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1999.76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101901454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19武进经发MTN001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143605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扬城控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991.56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101900248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南昌水投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8027.37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112386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申宏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2888.83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101900891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19常州投资MTN003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101901348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19汉江国资MTN001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101900485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19中国水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4755.00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031900018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19滨江投资PPN001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031800120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18威海开投PPN001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20301.83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1.48%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135286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16宜城01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599.97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150013.sh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17通高新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3059.34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烽火转债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13.50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031800399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18昆山高新PPN002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135855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诸资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101900172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19乐清国投MTN001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988.92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101801000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18汉江国资MTN004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031673002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16江东控股PPN001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4987.60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031682005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16盐城城南PPN001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3845.66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136718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浙证债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114363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济高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1999.81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川投转债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031900799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19绵阳投资PPN001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10016.46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112611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青信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5005.58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19武汉车都MTN002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19嘉兴现代MTN002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155507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文投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8067.61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101901603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19巨化MTN002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102000068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20淮安新城MTN001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031900921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19南阳投资PPN001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19太仓城投MTN001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2002.77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136079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15中航债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5017.44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101554079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15太仓城投MTN001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993.63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1880319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饶城投债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2010.07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1980290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19吴江02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2999.60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136607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16宁安01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120004.sz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19.20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4.20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1420043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14南粤银行二级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031800460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18川能投PPN002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101800845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18上饶投资MTN001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2002.73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031760028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17兰州城投PPN001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997.46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136501.sh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16天风01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3041.25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132022.sh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1820091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18三峡银行绿色金融01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3111.00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1820081.ib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18海峡银行01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2065.47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113011.sh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光大转债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19常熟农商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3126.06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102000488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20西安高新MTN002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4942.91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1820077.ib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18温州银行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5157.83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102000233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20芜湖宜居MTN001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989.00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2080090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20南昌工控债01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136776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16国航02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3916.21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031762027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17邯郸城投PPN001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1993.25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1580102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联峰债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13920.00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1.01%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112296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15东北债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2.01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155984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屿Y3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5999.39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101900483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19洪市政MTN001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4771.50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150375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18西南C1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2817.00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101900633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19嘉公路MTN001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031760027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17阜阳投资PPN002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9982.38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114059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嘉高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1500.00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112283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15西部02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2.01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155129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19葛洲01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3999.35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101800721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18盐城资产MTN002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150424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18金城01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3752.80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031800277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18昆山交发PPN001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1877.00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998.51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143395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17汇鸿01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155203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渝高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8023.63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031800162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18星城建设PPN001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5005.58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101801348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18芜湖建设MTN002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114676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20涪陵02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4844.54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031800629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5028.16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125823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常城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2999.86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101654072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1936.22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101800649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18名城建设MTN002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9402.00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烽火转债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101901601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19南投集团MTN002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101900878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19连云城建MTN001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143238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17普天01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5003.49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151500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19上投01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2842.50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1980198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19盐城城南债01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4295.19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031800326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18漳州交运PPN001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9310.00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135629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16常通02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683.41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101800985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18南昌城投MTN001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031758006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17晋江城投PPN001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4817.64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143631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18南港01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031800248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18建安投资PPN002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031900164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19建安投资PPN001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101800975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陕交建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136146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16东兴债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1521015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15花溪农商二级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5018.93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140903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16上海12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955.62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1980024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19吴江01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4999.34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135295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16江东01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6999.44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135855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诸资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1100.00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1520075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15阜新银行二级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1995.50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浦发转债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031900514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19上饶城投PPN002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5700.00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1780130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17即墨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旅投债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2997.85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101800769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18衢州国资MTN001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5077.60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031800506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18平安租赁PPN007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031900189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19西永PPN001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淮矿转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136180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2025.25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031800126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18湖北科投PPN001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10631.71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031573024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15嘉公路PPN003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2987.21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1880072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18温岭债01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1938.31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031900116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19滁州城投PPN001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136966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建集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9999.21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031800410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18赣州发展PPN001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031662034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襄阳建投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4840.92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101800478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18余姚城投MTN001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2790.00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155539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19西南02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2030.66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苏豪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150849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18湖州01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5998.77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145222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4893.94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031800241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建投租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9362.00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031761012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17晋江城投PPN002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2719.80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136594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16同仁堂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110061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川投转债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0.05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101901112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19苏国泰MTN001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150447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川铁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4685.50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1980128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湖州城投债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9470.00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101900364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19南昌城投MTN001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2993.67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1521007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15桐城农商二级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2809.55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031900556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19九江城投PPN001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031800211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18江阴公PPN001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9390.00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135323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昆银桥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5029.44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19嘉兴现代MTN002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031800276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18昆山高新PPN001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4676.00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031800164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芜湖建投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14275.70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1.04%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031800155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18余杭城建PPN001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10239.23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101900523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19晋交投MTN001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5674.20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031800135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18吴江城投PPN001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101800536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1054.68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101900556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渝文资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2850.00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031900327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19武进经发PPN002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5647.20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120004.sz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163044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G19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华综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011902930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19南通沿海SCP001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2038.52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101762054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17浙国贸MTN002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5475.70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102001242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20宁河西MTN001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3000.28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200205.ib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20国开05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1996.46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102001284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20国联MTN002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2000.19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101800865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18东南国资MTN002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6129.55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101800487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赣国资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1887.76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8.70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1820025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稠州商行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绿色金融01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5113.62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031800477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18西永PPN002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1580125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3379.87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19宿迁水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1680269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16栖霞专项债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1674.66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101900283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迁交通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1006.46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143395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17汇鸿01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031762035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17城乡一体PPN001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1987.38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1480327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14芜湖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宜居债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1235.76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031800261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18川港航PPN001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5649.00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101901601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19南投集团MTN002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101901379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19连云城建MTN002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031800722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资PPN003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031758006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17晋江城投PPN001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651.54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031679014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16黄冈城投PPN002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6598.35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1080107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高铁债</w:t>
            </w:r>
            <w:proofErr w:type="gramEnd"/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799.33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031671014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16盐城建投PPN001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1993.98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031800629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资PPN002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2016.12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112675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厦贸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4738.40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031800294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18城乡一体PPN001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8460.00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136596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16南港04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4387.88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101571012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15锡新区MTN001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992.50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031800125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18嘉公路PPN001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118386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15徐新债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4036.23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0.29%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031800229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18科学城PPN001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9397.00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031800146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18启东城投PPN001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4080.85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031800222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中原豫资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1879.82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125765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九龙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1999.74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101901475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19武汉车都MTN002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0.07%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150100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18台基01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031800162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18星城建设PPN001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031800602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18平顶发展PPN001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2030.33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101800092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18滨州城投MTN001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3052.83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101759004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17常州投资MTN001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3094.03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101901091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19合肥产投MTN001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4996.47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150659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G18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安租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2800.00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101900231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19余姚城投MTN001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2972.36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102000147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锡产业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5014.99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085315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方达昆玉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1号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基金资产管理产品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085315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博时黄金交易型开放式证券投资基金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2153.30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0.16%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510300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华泰柏瑞沪深300交易型开放式指数证券投资基金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462.18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085315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华富中证100指数证券投资基金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2458.66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510050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华夏上证50ETF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2793.10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510710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博时上证50ETF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237.99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0.02%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510300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华泰柏瑞沪深300交易型开放式指数证券投资基金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128.32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0.01%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GFHY-2-20191223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广发基金恒远2号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基金资产管理产品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CH-1-20200102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淳厚基金可转债1号-2020102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基金资产管理产品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HTF-1-20191223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汇添富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可转债1号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基金资产管理产品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JSCCYX-1-20191223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景顺长城转债优选1号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基金资产管理产品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2000.00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0.15%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510300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华泰柏瑞沪深300交易型开放式指数证券投资基金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503.78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0.04%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510050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华夏上证50ETF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募基金</w:t>
            </w:r>
            <w:proofErr w:type="gramEnd"/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479.12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0.03%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085315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逆回购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逆回购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120715.00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8.78%</w:t>
            </w:r>
          </w:p>
        </w:tc>
      </w:tr>
      <w:tr w:rsidR="00085315">
        <w:trPr>
          <w:trHeight w:val="288"/>
        </w:trPr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085315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26797.38 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1.95%</w:t>
            </w:r>
          </w:p>
        </w:tc>
      </w:tr>
    </w:tbl>
    <w:p w:rsidR="00085315" w:rsidRDefault="0008531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tbl>
      <w:tblPr>
        <w:tblW w:w="524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825"/>
        <w:gridCol w:w="1135"/>
        <w:gridCol w:w="689"/>
        <w:gridCol w:w="652"/>
        <w:gridCol w:w="2066"/>
        <w:gridCol w:w="607"/>
        <w:gridCol w:w="560"/>
        <w:gridCol w:w="575"/>
      </w:tblGrid>
      <w:tr w:rsidR="00085315" w:rsidTr="00B964A9">
        <w:trPr>
          <w:trHeight w:val="303"/>
        </w:trPr>
        <w:tc>
          <w:tcPr>
            <w:tcW w:w="9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资产名称</w:t>
            </w:r>
          </w:p>
        </w:tc>
        <w:tc>
          <w:tcPr>
            <w:tcW w:w="4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资产种类</w:t>
            </w:r>
          </w:p>
        </w:tc>
        <w:tc>
          <w:tcPr>
            <w:tcW w:w="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融资客户</w:t>
            </w:r>
          </w:p>
        </w:tc>
        <w:tc>
          <w:tcPr>
            <w:tcW w:w="39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剩余融资期限（年）</w:t>
            </w:r>
          </w:p>
        </w:tc>
        <w:tc>
          <w:tcPr>
            <w:tcW w:w="37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到期收益分配（%）</w:t>
            </w:r>
          </w:p>
        </w:tc>
        <w:tc>
          <w:tcPr>
            <w:tcW w:w="118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交易结构</w:t>
            </w:r>
          </w:p>
        </w:tc>
        <w:tc>
          <w:tcPr>
            <w:tcW w:w="34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风险状况</w:t>
            </w:r>
          </w:p>
        </w:tc>
        <w:tc>
          <w:tcPr>
            <w:tcW w:w="32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配置规模</w:t>
            </w:r>
          </w:p>
        </w:tc>
        <w:tc>
          <w:tcPr>
            <w:tcW w:w="3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投资比例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海汇信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2017-18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株洲城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发信托贷款20171010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信托计划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株洲市城市建设发展集团有限公司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0.28</w:t>
            </w:r>
            <w:bookmarkStart w:id="0" w:name="_GoBack"/>
            <w:bookmarkEnd w:id="0"/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6.2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投资“中海汇信2017-18株洲城发信托贷款集合资金信托计划”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20000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1.45%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海汇信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2019-81郑州城建债权投资集合资金信托计划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信托计划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郑州城建集团投资有限公司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0.40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6.25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投资“中海汇信2019-81郑州城建债权投资集合资金信托计划”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7500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0.55%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常熟城市经营2018年第一期债权融资计划（债权融资计划）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债权融资计划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常熟市城市经营投资有限公司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6.7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投资“常熟市城市经营投资有限公司2018年度第一期债权融资计划”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20000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1.45%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南通城建2018第二期理财直融（理财直融）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理财直融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南通城市建设集团有限公司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6.6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投资“南通城投理财直融工具第2期”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5000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0.36%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常熟交通公（理财直融）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理财直融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常熟市交通公有资产经营有限公司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6.5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投资“常熟公有2018年一期理财直融工具”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0.73%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18常州城建01（理财直融）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理财直融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常州市城市建设（集团）有限公司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0.79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6.7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投资“常州市城市建设（集团）有限公司2018年第一期理财直融工具”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5000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0.36%</w:t>
            </w:r>
          </w:p>
        </w:tc>
      </w:tr>
      <w:tr w:rsidR="00085315" w:rsidTr="00B964A9">
        <w:trPr>
          <w:trHeight w:val="303"/>
        </w:trPr>
        <w:tc>
          <w:tcPr>
            <w:tcW w:w="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18义乌国资01（理财直融）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理财直融</w:t>
            </w:r>
            <w:proofErr w:type="gramEnd"/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义乌市国有资本运营有限公司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0.82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7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投资“义乌市国有资本运营有限公司2018年度第一期理财直接融资工具”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正常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10000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85315" w:rsidRDefault="00DF5226" w:rsidP="00B964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0.73%</w:t>
            </w:r>
          </w:p>
        </w:tc>
      </w:tr>
    </w:tbl>
    <w:p w:rsidR="00085315" w:rsidRDefault="0008531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085315" w:rsidRDefault="00DF5226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085315" w:rsidRDefault="00DF522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085315" w:rsidRDefault="00DF5226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江苏昆山农村商业银行股份有限公司</w:t>
      </w:r>
    </w:p>
    <w:p w:rsidR="00085315" w:rsidRDefault="00DF5226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二〇二〇年六月</w:t>
      </w:r>
    </w:p>
    <w:sectPr w:rsidR="00085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030E"/>
    <w:rsid w:val="00036F0B"/>
    <w:rsid w:val="0004701C"/>
    <w:rsid w:val="00067C51"/>
    <w:rsid w:val="000725D4"/>
    <w:rsid w:val="00083515"/>
    <w:rsid w:val="00085315"/>
    <w:rsid w:val="00091B67"/>
    <w:rsid w:val="00096A6B"/>
    <w:rsid w:val="000B0FFE"/>
    <w:rsid w:val="0014542C"/>
    <w:rsid w:val="0015424B"/>
    <w:rsid w:val="00194BE2"/>
    <w:rsid w:val="001F5D8E"/>
    <w:rsid w:val="00236CF5"/>
    <w:rsid w:val="00260F7D"/>
    <w:rsid w:val="002654A6"/>
    <w:rsid w:val="0027307F"/>
    <w:rsid w:val="002D3EE9"/>
    <w:rsid w:val="00307B51"/>
    <w:rsid w:val="00377898"/>
    <w:rsid w:val="00393AB2"/>
    <w:rsid w:val="003B17A0"/>
    <w:rsid w:val="00436708"/>
    <w:rsid w:val="00480922"/>
    <w:rsid w:val="00481452"/>
    <w:rsid w:val="004912CA"/>
    <w:rsid w:val="004C02ED"/>
    <w:rsid w:val="004C2900"/>
    <w:rsid w:val="004E15F6"/>
    <w:rsid w:val="006139C2"/>
    <w:rsid w:val="00616EFC"/>
    <w:rsid w:val="00630D82"/>
    <w:rsid w:val="00664B91"/>
    <w:rsid w:val="00671EA8"/>
    <w:rsid w:val="006A4B51"/>
    <w:rsid w:val="006E624C"/>
    <w:rsid w:val="006F3687"/>
    <w:rsid w:val="00765506"/>
    <w:rsid w:val="007A543D"/>
    <w:rsid w:val="007B1E0B"/>
    <w:rsid w:val="007D0167"/>
    <w:rsid w:val="007F074F"/>
    <w:rsid w:val="00862D6D"/>
    <w:rsid w:val="008A3AB1"/>
    <w:rsid w:val="008C2324"/>
    <w:rsid w:val="008F192B"/>
    <w:rsid w:val="0090017B"/>
    <w:rsid w:val="0095720C"/>
    <w:rsid w:val="00985656"/>
    <w:rsid w:val="009A3764"/>
    <w:rsid w:val="009E15F9"/>
    <w:rsid w:val="00A35999"/>
    <w:rsid w:val="00A746F6"/>
    <w:rsid w:val="00AB1435"/>
    <w:rsid w:val="00AB4A59"/>
    <w:rsid w:val="00AD64CA"/>
    <w:rsid w:val="00AE1218"/>
    <w:rsid w:val="00B5258B"/>
    <w:rsid w:val="00B90A51"/>
    <w:rsid w:val="00B964A9"/>
    <w:rsid w:val="00C43056"/>
    <w:rsid w:val="00C55B9C"/>
    <w:rsid w:val="00C70479"/>
    <w:rsid w:val="00C86A97"/>
    <w:rsid w:val="00CA2BFB"/>
    <w:rsid w:val="00CC4850"/>
    <w:rsid w:val="00CC5572"/>
    <w:rsid w:val="00D1093C"/>
    <w:rsid w:val="00D33CAA"/>
    <w:rsid w:val="00D36350"/>
    <w:rsid w:val="00D5669A"/>
    <w:rsid w:val="00DB5675"/>
    <w:rsid w:val="00DD605C"/>
    <w:rsid w:val="00DE15F1"/>
    <w:rsid w:val="00DF5226"/>
    <w:rsid w:val="00E15C3F"/>
    <w:rsid w:val="00E21159"/>
    <w:rsid w:val="00E30BDF"/>
    <w:rsid w:val="00E40B18"/>
    <w:rsid w:val="00E46B16"/>
    <w:rsid w:val="00EE6098"/>
    <w:rsid w:val="00F05282"/>
    <w:rsid w:val="00F92445"/>
    <w:rsid w:val="00F95E03"/>
    <w:rsid w:val="00FD74A3"/>
    <w:rsid w:val="00FF2B48"/>
    <w:rsid w:val="0C053585"/>
    <w:rsid w:val="3F9E081F"/>
    <w:rsid w:val="5AE0622F"/>
    <w:rsid w:val="683F606C"/>
    <w:rsid w:val="6A86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B0F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E26B0A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2019</Words>
  <Characters>11512</Characters>
  <Application>Microsoft Office Word</Application>
  <DocSecurity>0</DocSecurity>
  <Lines>95</Lines>
  <Paragraphs>27</Paragraphs>
  <ScaleCrop>false</ScaleCrop>
  <Company>MS</Company>
  <LinksUpToDate>false</LinksUpToDate>
  <CharactersWithSpaces>13504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57</cp:revision>
  <cp:lastPrinted>2019-04-03T08:17:00Z</cp:lastPrinted>
  <dcterms:created xsi:type="dcterms:W3CDTF">2019-04-03T08:47:00Z</dcterms:created>
  <dcterms:modified xsi:type="dcterms:W3CDTF">2020-07-08T02:11:00Z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