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6"/>
        </w:rPr>
      </w:pPr>
      <w:r>
        <w:rPr>
          <w:rFonts w:hint="eastAsia" w:asciiTheme="minorEastAsia" w:hAnsiTheme="minorEastAsia"/>
          <w:b/>
          <w:sz w:val="36"/>
          <w:u w:val="single"/>
        </w:rPr>
        <w:t xml:space="preserve"> 共享月盈</w:t>
      </w:r>
      <w:r>
        <w:rPr>
          <w:rFonts w:asciiTheme="minorEastAsia" w:hAnsiTheme="minorEastAsia"/>
          <w:b/>
          <w:sz w:val="36"/>
          <w:u w:val="single"/>
        </w:rPr>
        <w:t>GX001</w:t>
      </w:r>
      <w:r>
        <w:rPr>
          <w:rFonts w:hint="eastAsia" w:asciiTheme="minorEastAsia" w:hAnsiTheme="minorEastAsia"/>
          <w:b/>
          <w:sz w:val="36"/>
          <w:u w:val="single"/>
          <w:lang w:val="en-US" w:eastAsia="zh-CN"/>
        </w:rPr>
        <w:t>4</w:t>
      </w:r>
      <w:r>
        <w:rPr>
          <w:rFonts w:hint="eastAsia" w:asciiTheme="minorEastAsia" w:hAnsiTheme="minorEastAsia"/>
          <w:b/>
          <w:sz w:val="36"/>
          <w:u w:val="single"/>
        </w:rPr>
        <w:t>号理财产品</w:t>
      </w:r>
      <w:r>
        <w:rPr>
          <w:rFonts w:hint="eastAsia" w:asciiTheme="minorEastAsia" w:hAnsiTheme="minorEastAsia"/>
          <w:b/>
          <w:sz w:val="36"/>
        </w:rPr>
        <w:t>定期报告</w:t>
      </w:r>
    </w:p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20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/>
          <w:sz w:val="28"/>
          <w:szCs w:val="28"/>
        </w:rPr>
        <w:t>月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尊敬的客户：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>共享日日金G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>
        <w:rPr>
          <w:rFonts w:hint="eastAsia" w:asciiTheme="minorEastAsia" w:hAnsiTheme="minorEastAsia"/>
          <w:sz w:val="28"/>
          <w:szCs w:val="28"/>
          <w:u w:val="single"/>
        </w:rPr>
        <w:t>0014号理财产品</w:t>
      </w:r>
      <w:r>
        <w:rPr>
          <w:rFonts w:hint="eastAsia" w:asciiTheme="minorEastAsia" w:hAnsiTheme="minorEastAsia"/>
          <w:sz w:val="28"/>
          <w:szCs w:val="28"/>
        </w:rPr>
        <w:t>的产品基本要素如下：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6"/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6"/>
        <w:gridCol w:w="3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成立日期</w:t>
            </w:r>
          </w:p>
        </w:tc>
        <w:tc>
          <w:tcPr>
            <w:tcW w:w="375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  <w:highlight w:val="yellow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9年10月22日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产品类型</w:t>
            </w:r>
          </w:p>
        </w:tc>
        <w:tc>
          <w:tcPr>
            <w:tcW w:w="375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开放式产品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理财系统登记编码</w:t>
            </w:r>
          </w:p>
        </w:tc>
        <w:tc>
          <w:tcPr>
            <w:tcW w:w="375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C1115518000256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最新存续规模</w:t>
            </w:r>
          </w:p>
        </w:tc>
        <w:tc>
          <w:tcPr>
            <w:tcW w:w="375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346852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托管银行</w:t>
            </w:r>
          </w:p>
        </w:tc>
        <w:tc>
          <w:tcPr>
            <w:tcW w:w="375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宁波银行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杠杆率</w:t>
            </w:r>
          </w:p>
        </w:tc>
        <w:tc>
          <w:tcPr>
            <w:tcW w:w="375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137.87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%</w:t>
            </w:r>
          </w:p>
        </w:tc>
      </w:tr>
    </w:tbl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934"/>
        <w:gridCol w:w="2019"/>
        <w:gridCol w:w="21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产品名称/净值日期</w:t>
            </w:r>
          </w:p>
        </w:tc>
        <w:tc>
          <w:tcPr>
            <w:tcW w:w="193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产品单位净值</w:t>
            </w:r>
          </w:p>
        </w:tc>
        <w:tc>
          <w:tcPr>
            <w:tcW w:w="201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产品累计净值</w:t>
            </w:r>
          </w:p>
        </w:tc>
        <w:tc>
          <w:tcPr>
            <w:tcW w:w="2193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*资产净值（万元）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3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GX001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 20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年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月31日</w:t>
            </w:r>
          </w:p>
        </w:tc>
        <w:tc>
          <w:tcPr>
            <w:tcW w:w="193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1.0000</w:t>
            </w:r>
          </w:p>
        </w:tc>
        <w:tc>
          <w:tcPr>
            <w:tcW w:w="201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1.0000</w:t>
            </w:r>
          </w:p>
        </w:tc>
        <w:tc>
          <w:tcPr>
            <w:tcW w:w="219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346852</w:t>
            </w:r>
          </w:p>
        </w:tc>
      </w:tr>
    </w:tbl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产品配置资产情况如下：</w:t>
      </w:r>
    </w:p>
    <w:tbl>
      <w:tblPr>
        <w:tblW w:w="4998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6"/>
        <w:gridCol w:w="3228"/>
        <w:gridCol w:w="998"/>
        <w:gridCol w:w="1458"/>
        <w:gridCol w:w="14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资产代码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资产名称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资产种类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配置规模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投资比例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200401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20农发01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7993.98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1.67%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200201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20国开01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8003.33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1.67%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190307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19进出07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5005.33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1.05%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2028004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20浙商银行小微债01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5000.00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1.05%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2021005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20青岛农商小微债01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10000.00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2020004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20长沙银行小微债01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5000.00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1.05%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1921046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19长沙农商小微债01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8030.77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1.68%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1921020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19义乌农商三农债01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5006.21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1.05%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1921019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19杭州联合农商小微03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1003.03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0.21%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1920089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19海峡银行02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2025.38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0.42%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1920077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19西安银行小微债02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1997.50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1920063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19通商银行债01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4975.70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1920033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19泰隆银行01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5031.78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1.05%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1720077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17绍兴银行02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5042.67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1.05%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1620033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16江西银行绿色金融02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3012.80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0.63%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112093079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20潍坊银行CD032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1944.22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111986030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19江苏江南农村商业银行CD106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2963.82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0.62%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111977557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19乌鲁木齐银行CD108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9742.29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111977511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19泉州银行CD139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4875.62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111977314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19潍坊银行CD106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1964.95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0.41%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111977206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19重庆三峡银行CD166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9833.86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2.06%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111977071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19江苏江南农村商业银行CD177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9771.20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111976793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19稠州商行CD050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9737.03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2.04%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111976769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19华融湘江银行CD196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4891.78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1.02%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111976734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19乌鲁木齐银行CD103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7819.27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1.64%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111976727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19合肥科技农村商行CD075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4867.80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1.02%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111976679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19福建海峡银行CD128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4964.66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111976649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19威海商行CD168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4882.64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1.02%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111976065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19富邦华一银行CD038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4965.57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1.04%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111975697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19无锡农村商业银行CD071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9942.69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111975665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19稠州商行CD049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9746.07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111975163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19四川天府银行CD142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9767.10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2.04%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111974919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19绍兴银行CD106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9756.16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111973879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19郑州银行CD249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2988.75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0.62%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145494.sh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17东吴01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690.59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0.14%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166429.sh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20广安02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6000.00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1.25%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102000505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20渝文资MTN001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3000.00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0.63%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102000432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20芜湖宜居MTN002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3000.00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0.63%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102000405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20大宁MTN001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7000.00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1.46%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102000376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20宣城国资MTN001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2000.00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0.42%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102000319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20南通国投MTN001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3000.00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0.63%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102000256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20太湖新城MTN001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4000.00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0.84%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102000005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20南通高新MTN001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2044.16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101901603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19巨化MTN002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2025.17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0.42%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101901398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19邯郸城投MTN001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3031.90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0.63%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101901079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19桂铁投MTN002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6061.08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1.27%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101901023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19蓝星MTN001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2027.32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101801424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18吴江城投MTN002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3085.70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0.65%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101800103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18济宁城投MTN001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10746.60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2.25%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042000133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20鑫泰CP002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1000.00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042000057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20鑫泰CP001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5000.00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1926003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19富邦华一二级01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4960.80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1.04%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1921031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19张家港农商二级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9967.22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2.08%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1921025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19无锡农商二级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5008.48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1920004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19长安银行二级01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1010.86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0.21%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1821031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18天津农商二级01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3102.77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0.65%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1821013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18中山农商二级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2020.11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0.42%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1821005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18启东农商二级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2056.19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0.43%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1820082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18贵州银行二级02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1013.88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1820056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18潍坊银行二级01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2080.76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1820045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18台州银行二级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4156.00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0.87%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1820042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18泰隆商行二级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5211.38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1.09%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1820035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18九江银行二级02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10497.08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2.20%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1721061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17无锡农商二级01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5061.81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1.06%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1721049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17上海农商二级02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5094.78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1.07%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1721042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17瑞丰农商二级02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3032.47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0.63%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1721032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17如东农商二级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2025.53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0.42%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1721030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17靖江农商二级01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3003.40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0.63%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1721029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17泰州农商二级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3029.92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0.63%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1721026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17鹿城农商二级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5010.07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1721006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17联合农商二级01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10106.61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2.11%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1720059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17江西银行二级02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7167.75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1.50%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1720058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17通商银行二级01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4527.92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0.95%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1720041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17青岛银行二级02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7098.77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1.48%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1720036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17民泰商行二级01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9970.51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2.08%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1720028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17广州银行二级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1221.05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0.26%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1621027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16石狮农商二级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990.60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0.21%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1621011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16泰兴农商二级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6018.29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1.26%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1620064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16汉口银行二级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5011.72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1620021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16嘉兴银行二级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4977.61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1.04%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1620011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16东莞银行二级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4998.19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1.05%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1520070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15吉林银行二级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10048.64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2.10%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1520054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15潍坊银行二级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14270.65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2.98%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1520042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15成都银行二级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3619.13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0.76%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1520040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15晋商银行二级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债券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5033.22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1.05%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逆回购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逆回购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32262.00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6.75%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现金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现金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7281.39 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1.52%</w:t>
            </w:r>
          </w:p>
        </w:tc>
      </w:tr>
    </w:tbl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截止目前各项资产运作正常，所配置资产均有较强的流动性，组合整体风险可控。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感谢您投资昆山农商银行理财产品，敬请继续关注我行近期推出的其他理财产品。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江苏昆山农村商业银行股份有限公司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二〇二〇年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/>
          <w:sz w:val="28"/>
          <w:szCs w:val="28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13182"/>
    <w:rsid w:val="00061FB5"/>
    <w:rsid w:val="00085E95"/>
    <w:rsid w:val="000979DC"/>
    <w:rsid w:val="000A0A4E"/>
    <w:rsid w:val="000E76A8"/>
    <w:rsid w:val="00122A8E"/>
    <w:rsid w:val="0015424B"/>
    <w:rsid w:val="001A6FAC"/>
    <w:rsid w:val="00276DD5"/>
    <w:rsid w:val="00286C09"/>
    <w:rsid w:val="00295236"/>
    <w:rsid w:val="002F38F4"/>
    <w:rsid w:val="0037642B"/>
    <w:rsid w:val="003B17A0"/>
    <w:rsid w:val="003F5947"/>
    <w:rsid w:val="00411360"/>
    <w:rsid w:val="005819CC"/>
    <w:rsid w:val="005D4437"/>
    <w:rsid w:val="00652E55"/>
    <w:rsid w:val="006D4B9E"/>
    <w:rsid w:val="007033F9"/>
    <w:rsid w:val="00796A87"/>
    <w:rsid w:val="007C09E8"/>
    <w:rsid w:val="007C2A80"/>
    <w:rsid w:val="008A44E8"/>
    <w:rsid w:val="008C2324"/>
    <w:rsid w:val="008D2D74"/>
    <w:rsid w:val="00900140"/>
    <w:rsid w:val="00950085"/>
    <w:rsid w:val="009A3764"/>
    <w:rsid w:val="00A03ADA"/>
    <w:rsid w:val="00AB56C9"/>
    <w:rsid w:val="00B631BC"/>
    <w:rsid w:val="00B672F1"/>
    <w:rsid w:val="00B705EC"/>
    <w:rsid w:val="00BC2501"/>
    <w:rsid w:val="00CD1B37"/>
    <w:rsid w:val="00D23A56"/>
    <w:rsid w:val="00D72697"/>
    <w:rsid w:val="00E17E19"/>
    <w:rsid w:val="00E617AF"/>
    <w:rsid w:val="00EE12C4"/>
    <w:rsid w:val="00F00318"/>
    <w:rsid w:val="00F8076B"/>
    <w:rsid w:val="00FC1052"/>
    <w:rsid w:val="2BE267AA"/>
    <w:rsid w:val="2DC30F39"/>
    <w:rsid w:val="71C7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日期 Char"/>
    <w:basedOn w:val="7"/>
    <w:link w:val="2"/>
    <w:semiHidden/>
    <w:uiPriority w:val="99"/>
  </w:style>
  <w:style w:type="character" w:customStyle="1" w:styleId="9">
    <w:name w:val="页眉 Char"/>
    <w:basedOn w:val="7"/>
    <w:link w:val="4"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363</Words>
  <Characters>2073</Characters>
  <Lines>17</Lines>
  <Paragraphs>4</Paragraphs>
  <TotalTime>15</TotalTime>
  <ScaleCrop>false</ScaleCrop>
  <LinksUpToDate>false</LinksUpToDate>
  <CharactersWithSpaces>2432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2019-04-10T06:47:00Z</dcterms:created>
  <dc:creator>金融市场部 陶玲卿</dc:creator>
  <cp:lastModifiedBy>陈宇飞</cp:lastModifiedBy>
  <dcterms:modified xsi:type="dcterms:W3CDTF">2020-04-09T12:19:40Z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