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2"/>
          <w:u w:val="single"/>
        </w:rPr>
        <w:t>同心-稳利盈系列Twly201900</w:t>
      </w:r>
      <w:r>
        <w:rPr>
          <w:rFonts w:asciiTheme="minorEastAsia" w:hAnsiTheme="minorEastAsia"/>
          <w:b/>
          <w:sz w:val="32"/>
          <w:u w:val="single"/>
        </w:rPr>
        <w:t>3</w:t>
      </w:r>
      <w:r>
        <w:rPr>
          <w:rFonts w:hint="eastAsia" w:asciiTheme="minorEastAsia" w:hAnsiTheme="minorEastAsia"/>
          <w:b/>
          <w:sz w:val="32"/>
          <w:u w:val="single"/>
        </w:rPr>
        <w:t>号人民币理财产品</w:t>
      </w:r>
      <w:r>
        <w:rPr>
          <w:rFonts w:hint="eastAsia" w:asciiTheme="minorEastAsia" w:hAnsiTheme="minorEastAsia"/>
          <w:b/>
          <w:sz w:val="32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u w:val="single"/>
        </w:rPr>
        <w:t>同心-稳利盈系列Twly201900</w:t>
      </w:r>
      <w:r>
        <w:rPr>
          <w:rFonts w:asciiTheme="minorEastAsia" w:hAnsiTheme="minorEastAsia"/>
          <w:b/>
          <w:sz w:val="28"/>
          <w:szCs w:val="28"/>
          <w:u w:val="single"/>
        </w:rPr>
        <w:t>3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>号人民币理财产品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tbl>
      <w:tblPr>
        <w:tblStyle w:val="3"/>
        <w:tblW w:w="0" w:type="auto"/>
        <w:tblInd w:w="1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2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年4月2</w:t>
            </w: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年4月2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C1115519A000065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10000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4.1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兴业银行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0%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W w:w="4999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2380"/>
        <w:gridCol w:w="1133"/>
        <w:gridCol w:w="1798"/>
        <w:gridCol w:w="164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资产代码</w:t>
            </w: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资产名称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资产种类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配置规模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101759064</w:t>
            </w: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17九龙江MTN001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1052.71 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10.53%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135582</w:t>
            </w: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16悦来债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2004.46 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101900090</w:t>
            </w: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19淄博城运MTN001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1027.33 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10.27%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150220.SH</w:t>
            </w: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18漳九02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1241.48 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12.41%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10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4674.01 </w:t>
            </w: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46.74%</w:t>
            </w:r>
          </w:p>
        </w:tc>
      </w:tr>
    </w:tbl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0971"/>
    <w:rsid w:val="00085D44"/>
    <w:rsid w:val="0015424B"/>
    <w:rsid w:val="001F74FA"/>
    <w:rsid w:val="00275620"/>
    <w:rsid w:val="00280B17"/>
    <w:rsid w:val="002E63C4"/>
    <w:rsid w:val="003202D0"/>
    <w:rsid w:val="003A5C51"/>
    <w:rsid w:val="003B17A0"/>
    <w:rsid w:val="006D1BA8"/>
    <w:rsid w:val="00811C96"/>
    <w:rsid w:val="00813941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4110E"/>
    <w:rsid w:val="00D52FAF"/>
    <w:rsid w:val="00E54564"/>
    <w:rsid w:val="00E5582A"/>
    <w:rsid w:val="00E64352"/>
    <w:rsid w:val="00E64D91"/>
    <w:rsid w:val="00E71E07"/>
    <w:rsid w:val="00ED302C"/>
    <w:rsid w:val="00EF7AEC"/>
    <w:rsid w:val="00F4424C"/>
    <w:rsid w:val="69AD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68</Words>
  <Characters>390</Characters>
  <Lines>3</Lines>
  <Paragraphs>1</Paragraphs>
  <TotalTime>2</TotalTime>
  <ScaleCrop>false</ScaleCrop>
  <LinksUpToDate>false</LinksUpToDate>
  <CharactersWithSpaces>457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2019-04-03T03:21:00Z</dcterms:created>
  <dc:creator>金融市场部 陶玲卿</dc:creator>
  <cp:lastModifiedBy>陈宇飞</cp:lastModifiedBy>
  <cp:lastPrinted>2019-04-03T03:14:00Z</cp:lastPrinted>
  <dcterms:modified xsi:type="dcterms:W3CDTF">2020-04-08T05:56:28Z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