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6"/>
          <w:u w:val="single"/>
        </w:rPr>
        <w:t>日日金理财产品</w:t>
      </w:r>
      <w:r>
        <w:rPr>
          <w:rFonts w:hint="eastAsia" w:asciiTheme="minorEastAsia" w:hAnsiTheme="minorEastAsia"/>
          <w:b/>
          <w:sz w:val="36"/>
        </w:rPr>
        <w:t>定期报告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</w:rPr>
        <w:t>月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尊敬的客户：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>日日金理财产品</w:t>
      </w:r>
      <w:r>
        <w:rPr>
          <w:rFonts w:hint="eastAsia" w:asciiTheme="minorEastAsia" w:hAnsiTheme="minorEastAsia"/>
          <w:sz w:val="28"/>
          <w:szCs w:val="28"/>
        </w:rPr>
        <w:t>_的产品基本要素如下：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</w:t>
      </w:r>
    </w:p>
    <w:tbl>
      <w:tblPr>
        <w:tblStyle w:val="5"/>
        <w:tblW w:w="8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0"/>
        <w:gridCol w:w="4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014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月2</w:t>
            </w:r>
            <w:r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开放式产品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1115514000170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04120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业绩比较基准（最新）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2.6</w:t>
            </w:r>
            <w:r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宁波银行、兴业银行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112.25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产品配置资产情况如下：</w:t>
      </w:r>
    </w:p>
    <w:tbl>
      <w:tblPr>
        <w:tblStyle w:val="4"/>
        <w:tblW w:w="5205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"/>
        <w:gridCol w:w="4363"/>
        <w:gridCol w:w="1210"/>
        <w:gridCol w:w="969"/>
        <w:gridCol w:w="10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资产代码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资产名称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资产种类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配置规模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135582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16悦来债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5992.90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135489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16滨海02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4053.75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1.77%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101900497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19苏新国资MTN002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2035.80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101771009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17新发集团MTN001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5295.14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118386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15徐新债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1013.15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162958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20国联01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5089.72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2.22%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136512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16广安02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1978.45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031800774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18盐城高新PPN002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1030.40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150791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18南通01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1038.28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124667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14苏元禾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2082.84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1920003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19上饶银行绿色金融01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1990.49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0.87%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101773004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17安庆城投MTN002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2079.74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150773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18济高02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4156.65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136222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16疏浚01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2996.80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101559035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15中航机MTN001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502.36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0.22%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135260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16滨海01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3487.47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101801017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18栖霞国资MTN001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2050.83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101801249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18凌云工业MTN001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4088.71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1.78%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101900090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19淄博城运MTN001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3955.55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1.73%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101900303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19紫金矿业MTN001B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6962.42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3.04%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136104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15市北债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2030.19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150220.sh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18漳九02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9140.39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3.99%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101901323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19华发集团MTN005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2999.35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143323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17首创债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3797.13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1.66%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101753013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17今世缘MTN002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3034.50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1.32%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145648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17冶园02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4505.48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1.97%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1480451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14沪南汇债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1239.93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0.54%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1822036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18洛银租赁债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2999.29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1480365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14漳九龙债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2027.39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150346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18台基03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5182.69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2.26%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111974629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19唐山银行CD286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7860.31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101556028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15沙钢MTN001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5023.37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2.19%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120004.sz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20华菱EB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76.81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111976734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19乌鲁木齐银行CD103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1940.24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118417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15淮新02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993.09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0.43%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143738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18广开01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3086.07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143891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18疏浚01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4107.13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1.79%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031579003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15临汾投资PPN002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4343.98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136247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16华综01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3095.21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101900405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19常熟城投MTN001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5138.29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136501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16天风01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1014.57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0.44%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136377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16泰玻债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2026.55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118807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16淮水03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1157.21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145164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16郑建01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2431.27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1.06%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101800804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18巨化MTN001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2044.65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114452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19漳龙01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2029.22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111976727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19合肥科技农村商行CD075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4829.11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1605312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16吉林债02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1009.98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0.44%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101554075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15华录MTN001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2015.67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101559065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15中航国际MTN001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6069.04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1680325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16广州地铁可续期债03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5070.82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1680390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16芜湖交投专项债02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1590.87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101571011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15宜兴城投MTN001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3122.61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1.36%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136601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16穗建02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2011.79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101759064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17九龙江MTN001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4142.52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135323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16昆银桥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2024.73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143389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17永钢01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4064.55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101801215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18浙兴合MTN002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3086.29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019615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19国债05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3004.98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124204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PR津城投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965.07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0.42%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101801390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18川铁投MTN005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2999.19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1.31%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163262</w:t>
            </w: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20武金02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1002.00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0.44%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财通多策略福瑞定开混合（非标）（证券投资基金）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信托资管计划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7704.80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广发基金-德邦证券资产管理计划（证券投资基金）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信托资管计划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5000.00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2.18%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现金</w:t>
            </w:r>
          </w:p>
        </w:tc>
        <w:tc>
          <w:tcPr>
            <w:tcW w:w="6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现金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6130.50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2.68%</w:t>
            </w:r>
          </w:p>
        </w:tc>
      </w:tr>
    </w:tbl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tbl>
      <w:tblPr>
        <w:tblW w:w="5000" w:type="pct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8"/>
        <w:gridCol w:w="738"/>
        <w:gridCol w:w="729"/>
        <w:gridCol w:w="591"/>
        <w:gridCol w:w="609"/>
        <w:gridCol w:w="1699"/>
        <w:gridCol w:w="747"/>
        <w:gridCol w:w="942"/>
        <w:gridCol w:w="71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资产名称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资产种类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融资客户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剩余融资期限（年）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到期收益分配（%）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交易结构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风险状况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配置规模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投资比例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长安宁一渤海租赁应收债权买入返售集合资金信托计划（资金信托）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信托计划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天津渤海租赁有限公司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 xml:space="preserve">0.37 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6.2</w:t>
            </w:r>
          </w:p>
        </w:tc>
        <w:tc>
          <w:tcPr>
            <w:tcW w:w="10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投资“长安宁一渤海租赁应收债权买入返售集合资金信托计划”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正常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 xml:space="preserve">18069.71 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3"/>
                <w:szCs w:val="13"/>
                <w:lang w:val="en-US" w:eastAsia="zh-CN"/>
              </w:rPr>
              <w:t>7.89%</w:t>
            </w:r>
          </w:p>
        </w:tc>
      </w:tr>
    </w:tbl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截止目前各项资产运作正常，所配置资产均有较强的流动性，组合整体风险可控。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感谢您投资昆山农商银行理财产品，敬请继续关注我行近期推出的其他理财产品。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江苏昆山农村商业银行股份有限公司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二〇二〇年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35997"/>
    <w:rsid w:val="00067C51"/>
    <w:rsid w:val="000725D4"/>
    <w:rsid w:val="00095F6E"/>
    <w:rsid w:val="000A42F0"/>
    <w:rsid w:val="000E2391"/>
    <w:rsid w:val="0010551A"/>
    <w:rsid w:val="0015394E"/>
    <w:rsid w:val="0015424B"/>
    <w:rsid w:val="001649C2"/>
    <w:rsid w:val="00231485"/>
    <w:rsid w:val="002654A6"/>
    <w:rsid w:val="002F3B21"/>
    <w:rsid w:val="00307B51"/>
    <w:rsid w:val="00376BC9"/>
    <w:rsid w:val="003B17A0"/>
    <w:rsid w:val="003E3051"/>
    <w:rsid w:val="00436708"/>
    <w:rsid w:val="004853EC"/>
    <w:rsid w:val="00487429"/>
    <w:rsid w:val="004912CA"/>
    <w:rsid w:val="004D741C"/>
    <w:rsid w:val="004E15F6"/>
    <w:rsid w:val="00572F2F"/>
    <w:rsid w:val="005B4B00"/>
    <w:rsid w:val="005E2D5B"/>
    <w:rsid w:val="006A3889"/>
    <w:rsid w:val="006A4B51"/>
    <w:rsid w:val="006E624C"/>
    <w:rsid w:val="0072014E"/>
    <w:rsid w:val="0072199E"/>
    <w:rsid w:val="007B10C7"/>
    <w:rsid w:val="00870DEE"/>
    <w:rsid w:val="00874B2C"/>
    <w:rsid w:val="008C2324"/>
    <w:rsid w:val="008F460F"/>
    <w:rsid w:val="009A3764"/>
    <w:rsid w:val="009B41B1"/>
    <w:rsid w:val="009E1524"/>
    <w:rsid w:val="009F678E"/>
    <w:rsid w:val="00A30A70"/>
    <w:rsid w:val="00A746F6"/>
    <w:rsid w:val="00AC20BE"/>
    <w:rsid w:val="00AF6218"/>
    <w:rsid w:val="00B65B0F"/>
    <w:rsid w:val="00B74FDB"/>
    <w:rsid w:val="00B964E6"/>
    <w:rsid w:val="00C63C9F"/>
    <w:rsid w:val="00CC4850"/>
    <w:rsid w:val="00CE7DAF"/>
    <w:rsid w:val="00D2643B"/>
    <w:rsid w:val="00D31B56"/>
    <w:rsid w:val="00D5669A"/>
    <w:rsid w:val="00D60233"/>
    <w:rsid w:val="00DB5F87"/>
    <w:rsid w:val="00DC14FB"/>
    <w:rsid w:val="00E1346C"/>
    <w:rsid w:val="00E15C3F"/>
    <w:rsid w:val="00E36021"/>
    <w:rsid w:val="00E46B16"/>
    <w:rsid w:val="00E5020B"/>
    <w:rsid w:val="00EE49B4"/>
    <w:rsid w:val="00EE5E48"/>
    <w:rsid w:val="00EE6098"/>
    <w:rsid w:val="00F204EB"/>
    <w:rsid w:val="00F431A6"/>
    <w:rsid w:val="00F47174"/>
    <w:rsid w:val="00FD74A3"/>
    <w:rsid w:val="00FF2B48"/>
    <w:rsid w:val="4C2C2605"/>
    <w:rsid w:val="56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427</Words>
  <Characters>2440</Characters>
  <Lines>20</Lines>
  <Paragraphs>5</Paragraphs>
  <TotalTime>0</TotalTime>
  <ScaleCrop>false</ScaleCrop>
  <LinksUpToDate>false</LinksUpToDate>
  <CharactersWithSpaces>2862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2019-04-03T09:55:00Z</dcterms:created>
  <dc:creator>金融市场部 陶玲卿</dc:creator>
  <cp:lastModifiedBy>陈宇飞</cp:lastModifiedBy>
  <cp:lastPrinted>2019-04-03T08:17:00Z</cp:lastPrinted>
  <dcterms:modified xsi:type="dcterms:W3CDTF">2020-04-08T14:50:37Z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