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ascii="黑体" w:eastAsia="黑体"/>
          <w:sz w:val="28"/>
          <w:szCs w:val="28"/>
        </w:rPr>
      </w:pPr>
      <w:r>
        <w:rPr>
          <w:rFonts w:hint="eastAsia" w:ascii="黑体" w:eastAsia="黑体"/>
          <w:color w:val="auto"/>
          <w:sz w:val="28"/>
          <w:szCs w:val="28"/>
        </w:rPr>
        <w:t>招标编号：KSRCBJC2025006</w:t>
      </w:r>
    </w:p>
    <w:p>
      <w:pPr>
        <w:tabs>
          <w:tab w:val="left" w:pos="8280"/>
        </w:tabs>
        <w:spacing w:line="360" w:lineRule="auto"/>
        <w:rPr>
          <w:rFonts w:ascii="黑体" w:eastAsia="黑体"/>
          <w:b/>
          <w:sz w:val="28"/>
          <w:szCs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hint="eastAsia" w:ascii="黑体" w:eastAsia="黑体"/>
          <w:b/>
          <w:sz w:val="28"/>
        </w:rPr>
      </w:pPr>
    </w:p>
    <w:p>
      <w:pPr>
        <w:pStyle w:val="5"/>
        <w:tabs>
          <w:tab w:val="left" w:pos="8280"/>
        </w:tabs>
        <w:spacing w:after="0" w:line="360" w:lineRule="auto"/>
        <w:jc w:val="center"/>
        <w:outlineLvl w:val="0"/>
        <w:rPr>
          <w:rFonts w:hint="eastAsia" w:ascii="黑体" w:eastAsia="黑体"/>
          <w:sz w:val="44"/>
        </w:rPr>
      </w:pPr>
      <w:r>
        <w:rPr>
          <w:rFonts w:hint="eastAsia" w:ascii="黑体" w:eastAsia="黑体"/>
          <w:sz w:val="44"/>
        </w:rPr>
        <w:t>江苏</w:t>
      </w:r>
      <w:r>
        <w:rPr>
          <w:rFonts w:ascii="黑体" w:eastAsia="黑体"/>
          <w:sz w:val="44"/>
        </w:rPr>
        <w:t>昆山农村商业银行</w:t>
      </w:r>
      <w:r>
        <w:rPr>
          <w:rFonts w:hint="eastAsia" w:ascii="黑体" w:eastAsia="黑体"/>
          <w:sz w:val="44"/>
        </w:rPr>
        <w:t>股份有限公司</w:t>
      </w:r>
    </w:p>
    <w:p>
      <w:pPr>
        <w:pStyle w:val="5"/>
        <w:tabs>
          <w:tab w:val="left" w:pos="8280"/>
        </w:tabs>
        <w:spacing w:after="0" w:line="360" w:lineRule="auto"/>
        <w:jc w:val="center"/>
        <w:outlineLvl w:val="0"/>
        <w:rPr>
          <w:rFonts w:ascii="黑体" w:eastAsia="黑体"/>
          <w:sz w:val="44"/>
        </w:rPr>
      </w:pPr>
      <w:r>
        <w:rPr>
          <w:rFonts w:hint="eastAsia" w:ascii="黑体" w:eastAsia="黑体"/>
          <w:sz w:val="44"/>
        </w:rPr>
        <w:t>昆山卫健委区域银医通安全解决方案2025采购招标书</w:t>
      </w:r>
    </w:p>
    <w:p>
      <w:pPr>
        <w:pStyle w:val="5"/>
        <w:tabs>
          <w:tab w:val="left" w:pos="8280"/>
        </w:tabs>
        <w:spacing w:after="0" w:line="360" w:lineRule="auto"/>
        <w:jc w:val="center"/>
        <w:outlineLvl w:val="0"/>
        <w:rPr>
          <w:rFonts w:hint="eastAsia" w:ascii="黑体" w:eastAsia="黑体"/>
          <w:sz w:val="44"/>
          <w:lang w:eastAsia="zh-CN"/>
        </w:rPr>
      </w:pPr>
      <w:r>
        <w:rPr>
          <w:rFonts w:hint="eastAsia" w:ascii="黑体" w:eastAsia="黑体"/>
          <w:sz w:val="44"/>
          <w:lang w:eastAsia="zh-CN"/>
        </w:rPr>
        <w:t>（第二次）</w:t>
      </w:r>
    </w:p>
    <w:p>
      <w:pPr>
        <w:tabs>
          <w:tab w:val="left" w:pos="8280"/>
        </w:tabs>
        <w:spacing w:line="360" w:lineRule="auto"/>
        <w:jc w:val="center"/>
        <w:rPr>
          <w:rFonts w:ascii="宋体"/>
          <w:b/>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outlineLvl w:val="0"/>
        <w:rPr>
          <w:rFonts w:ascii="宋体" w:eastAsia="仿宋_GB2312"/>
          <w:sz w:val="28"/>
          <w:szCs w:val="28"/>
        </w:rPr>
      </w:pPr>
      <w:r>
        <w:rPr>
          <w:rFonts w:hint="eastAsia" w:eastAsia="仿宋_GB2312"/>
          <w:sz w:val="28"/>
          <w:szCs w:val="28"/>
        </w:rPr>
        <w:t>江苏昆山农村商业银行股份有限公司</w:t>
      </w:r>
    </w:p>
    <w:p>
      <w:pPr>
        <w:pStyle w:val="7"/>
        <w:tabs>
          <w:tab w:val="left" w:pos="8280"/>
        </w:tabs>
        <w:spacing w:line="360" w:lineRule="auto"/>
        <w:ind w:left="0" w:leftChars="0" w:firstLine="3220" w:firstLineChars="1150"/>
        <w:outlineLvl w:val="0"/>
        <w:rPr>
          <w:rFonts w:eastAsia="仿宋_GB2312"/>
          <w:color w:val="auto"/>
          <w:szCs w:val="28"/>
        </w:rPr>
      </w:pPr>
      <w:r>
        <w:rPr>
          <w:rFonts w:hint="eastAsia" w:eastAsia="仿宋_GB2312"/>
          <w:color w:val="auto"/>
          <w:szCs w:val="28"/>
        </w:rPr>
        <w:t>20</w:t>
      </w:r>
      <w:r>
        <w:rPr>
          <w:rFonts w:hint="eastAsia" w:eastAsia="仿宋_GB2312"/>
          <w:color w:val="auto"/>
          <w:szCs w:val="28"/>
          <w:lang w:val="en-US" w:eastAsia="zh-CN"/>
        </w:rPr>
        <w:t>25</w:t>
      </w:r>
      <w:r>
        <w:rPr>
          <w:rFonts w:hint="eastAsia" w:eastAsia="仿宋_GB2312"/>
          <w:color w:val="auto"/>
          <w:szCs w:val="28"/>
        </w:rPr>
        <w:t>年</w:t>
      </w:r>
      <w:r>
        <w:rPr>
          <w:rFonts w:hint="eastAsia" w:eastAsia="仿宋_GB2312"/>
          <w:color w:val="auto"/>
          <w:szCs w:val="28"/>
          <w:lang w:val="en-US" w:eastAsia="zh-CN"/>
        </w:rPr>
        <w:t>02</w:t>
      </w:r>
      <w:r>
        <w:rPr>
          <w:rFonts w:hint="eastAsia" w:eastAsia="仿宋_GB2312"/>
          <w:color w:val="auto"/>
          <w:szCs w:val="28"/>
        </w:rPr>
        <w:t>月</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eastAsia="黑体"/>
          <w:sz w:val="32"/>
          <w:szCs w:val="32"/>
        </w:rPr>
      </w:pPr>
      <w:r>
        <w:br w:type="page"/>
      </w:r>
      <w:r>
        <w:rPr>
          <w:rFonts w:hint="eastAsia" w:ascii="黑体" w:eastAsia="黑体"/>
          <w:sz w:val="32"/>
          <w:szCs w:val="32"/>
        </w:rPr>
        <w:t>声</w:t>
      </w:r>
      <w:r>
        <w:rPr>
          <w:rFonts w:hint="eastAsia" w:ascii="黑体" w:eastAsia="黑体"/>
          <w:sz w:val="32"/>
          <w:szCs w:val="32"/>
        </w:rPr>
        <w:tab/>
      </w:r>
      <w:r>
        <w:rPr>
          <w:rFonts w:hint="eastAsia" w:ascii="黑体" w:eastAsia="黑体"/>
          <w:sz w:val="32"/>
          <w:szCs w:val="32"/>
        </w:rPr>
        <w:tab/>
      </w:r>
      <w:r>
        <w:rPr>
          <w:rFonts w:hint="eastAsia" w:ascii="黑体" w:eastAsia="黑体"/>
          <w:sz w:val="32"/>
          <w:szCs w:val="32"/>
        </w:rPr>
        <w:t>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eastAsia="仿宋_GB2312"/>
          <w:sz w:val="28"/>
          <w:szCs w:val="28"/>
        </w:rPr>
      </w:pPr>
      <w:r>
        <w:rPr>
          <w:rFonts w:hint="eastAsia" w:ascii="仿宋_GB2312" w:eastAsia="仿宋_GB2312"/>
          <w:sz w:val="28"/>
          <w:szCs w:val="28"/>
        </w:rPr>
        <w:t>本招标文件专用于江苏昆山农村商业银行股份有限公司本次采购</w:t>
      </w:r>
      <w:r>
        <w:rPr>
          <w:rFonts w:hint="eastAsia" w:ascii="仿宋_GB2312" w:eastAsia="仿宋_GB2312"/>
          <w:sz w:val="28"/>
          <w:szCs w:val="28"/>
          <w:u w:val="single"/>
        </w:rPr>
        <w:t>昆山卫健委区域银医通安全解决方案202</w:t>
      </w:r>
      <w:r>
        <w:rPr>
          <w:rFonts w:hint="eastAsia" w:ascii="仿宋_GB2312" w:eastAsia="仿宋_GB2312"/>
          <w:sz w:val="28"/>
          <w:szCs w:val="28"/>
          <w:u w:val="single"/>
          <w:lang w:val="en-US" w:eastAsia="zh-CN"/>
        </w:rPr>
        <w:t>5</w:t>
      </w:r>
      <w:r>
        <w:rPr>
          <w:rFonts w:hint="eastAsia" w:ascii="仿宋_GB2312" w:eastAsia="仿宋_GB2312"/>
          <w:sz w:val="28"/>
          <w:szCs w:val="28"/>
          <w:u w:val="single"/>
        </w:rPr>
        <w:t>采购</w:t>
      </w:r>
      <w:r>
        <w:rPr>
          <w:rFonts w:hint="eastAsia" w:ascii="仿宋_GB2312" w:eastAsia="仿宋_GB2312"/>
          <w:color w:val="auto"/>
          <w:sz w:val="28"/>
          <w:szCs w:val="28"/>
        </w:rPr>
        <w:t>进行招标</w:t>
      </w:r>
      <w:r>
        <w:rPr>
          <w:rFonts w:hint="eastAsia" w:ascii="仿宋_GB2312" w:eastAsia="仿宋_GB2312"/>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pPr>
    </w:p>
    <w:p>
      <w:pPr>
        <w:spacing w:line="360" w:lineRule="auto"/>
        <w:jc w:val="cente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rPr>
        <w:tab/>
      </w:r>
      <w:r>
        <w:rPr>
          <w:rFonts w:hint="eastAsia" w:ascii="黑体" w:hAnsi="黑体" w:eastAsia="黑体"/>
          <w:sz w:val="32"/>
          <w:szCs w:val="32"/>
        </w:rPr>
        <w:t>投标函</w:t>
      </w:r>
    </w:p>
    <w:p>
      <w:pPr>
        <w:keepNext w:val="0"/>
        <w:keepLines w:val="0"/>
        <w:pageBreakBefore w:val="0"/>
        <w:widowControl w:val="0"/>
        <w:kinsoku/>
        <w:wordWrap/>
        <w:overflowPunct/>
        <w:topLinePunct w:val="0"/>
        <w:autoSpaceDE/>
        <w:autoSpaceDN/>
        <w:bidi w:val="0"/>
        <w:adjustRightInd w:val="0"/>
        <w:snapToGrid w:val="0"/>
        <w:spacing w:line="360" w:lineRule="auto"/>
        <w:ind w:left="561" w:leftChars="267"/>
        <w:textAlignment w:val="auto"/>
        <w:rPr>
          <w:rFonts w:ascii="仿宋_GB2312" w:eastAsia="仿宋_GB2312"/>
          <w:color w:val="auto"/>
          <w:sz w:val="28"/>
          <w:szCs w:val="28"/>
        </w:rPr>
      </w:pPr>
      <w:r>
        <w:rPr>
          <w:rFonts w:hint="eastAsia" w:ascii="仿宋_GB2312" w:eastAsia="仿宋_GB2312"/>
          <w:sz w:val="28"/>
          <w:szCs w:val="28"/>
        </w:rPr>
        <w:t>根据江苏昆山农村商业银行股份有限公司业务发展的需求，现就</w:t>
      </w:r>
      <w:r>
        <w:rPr>
          <w:rFonts w:hint="eastAsia" w:ascii="仿宋_GB2312" w:eastAsia="仿宋_GB2312"/>
          <w:color w:val="auto"/>
          <w:sz w:val="28"/>
          <w:szCs w:val="28"/>
        </w:rPr>
        <w:t>江苏昆山农村商业银行股份有限公司采购</w:t>
      </w:r>
      <w:r>
        <w:rPr>
          <w:rFonts w:hint="eastAsia" w:ascii="仿宋_GB2312" w:eastAsia="仿宋_GB2312"/>
          <w:color w:val="auto"/>
          <w:sz w:val="28"/>
          <w:szCs w:val="28"/>
          <w:u w:val="single"/>
        </w:rPr>
        <w:t>昆山卫健委区域银医通安全解决方案202</w:t>
      </w:r>
      <w:r>
        <w:rPr>
          <w:rFonts w:hint="eastAsia" w:ascii="仿宋_GB2312" w:eastAsia="仿宋_GB2312"/>
          <w:color w:val="auto"/>
          <w:sz w:val="28"/>
          <w:szCs w:val="28"/>
          <w:u w:val="single"/>
          <w:lang w:val="en-US" w:eastAsia="zh-CN"/>
        </w:rPr>
        <w:t>5采购</w:t>
      </w:r>
      <w:r>
        <w:rPr>
          <w:rFonts w:hint="eastAsia" w:ascii="仿宋_GB2312" w:eastAsia="仿宋_GB2312"/>
          <w:color w:val="auto"/>
          <w:sz w:val="28"/>
          <w:szCs w:val="28"/>
        </w:rPr>
        <w:t>进行招标：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u w:val="single"/>
        </w:rPr>
      </w:pPr>
      <w:r>
        <w:rPr>
          <w:rFonts w:hint="eastAsia" w:ascii="仿宋_GB2312" w:eastAsia="仿宋_GB2312"/>
          <w:color w:val="auto"/>
          <w:sz w:val="28"/>
          <w:szCs w:val="28"/>
        </w:rPr>
        <w:t>1、招标</w:t>
      </w:r>
      <w:r>
        <w:rPr>
          <w:rFonts w:hint="eastAsia" w:ascii="仿宋_GB2312" w:hAnsi="宋体" w:eastAsia="仿宋_GB2312"/>
          <w:color w:val="auto"/>
          <w:sz w:val="28"/>
        </w:rPr>
        <w:t>编号：KSRCBJC2025006</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2、招标人：江苏昆山农村商业银行股份有限公司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3、招标内容：昆山农村商业银行</w:t>
      </w:r>
      <w:r>
        <w:rPr>
          <w:rFonts w:hint="eastAsia" w:ascii="宋体" w:hAnsi="宋体" w:eastAsia="仿宋_GB2312" w:cs="Arial"/>
          <w:color w:val="auto"/>
          <w:sz w:val="28"/>
          <w:szCs w:val="28"/>
          <w:u w:val="single"/>
        </w:rPr>
        <w:t>昆山卫健委区域银医通安全解决方案202</w:t>
      </w:r>
      <w:r>
        <w:rPr>
          <w:rFonts w:hint="eastAsia" w:ascii="宋体" w:hAnsi="宋体" w:eastAsia="仿宋_GB2312" w:cs="Arial"/>
          <w:color w:val="auto"/>
          <w:sz w:val="28"/>
          <w:szCs w:val="28"/>
          <w:u w:val="single"/>
          <w:lang w:val="en-US" w:eastAsia="zh-CN"/>
        </w:rPr>
        <w:t>5采购</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ascii="仿宋_GB2312" w:hAnsi="宋体" w:eastAsia="仿宋_GB2312"/>
          <w:color w:val="auto"/>
          <w:sz w:val="28"/>
        </w:rPr>
      </w:pPr>
      <w:r>
        <w:rPr>
          <w:rFonts w:hint="eastAsia" w:ascii="仿宋_GB2312" w:hAnsi="宋体" w:eastAsia="仿宋_GB2312"/>
          <w:color w:val="auto"/>
          <w:sz w:val="28"/>
        </w:rPr>
        <w:t>4、项目实施地点：昆山</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szCs w:val="28"/>
        </w:rPr>
        <w:t>5</w:t>
      </w:r>
      <w:r>
        <w:rPr>
          <w:rFonts w:hint="eastAsia" w:ascii="仿宋_GB2312" w:hAnsi="宋体" w:eastAsia="仿宋_GB2312"/>
          <w:color w:val="auto"/>
          <w:sz w:val="28"/>
        </w:rPr>
        <w:t>、发放标书时间：北京时间202</w:t>
      </w:r>
      <w:r>
        <w:rPr>
          <w:rFonts w:hint="eastAsia" w:ascii="仿宋_GB2312" w:hAnsi="宋体" w:eastAsia="仿宋_GB2312"/>
          <w:color w:val="auto"/>
          <w:sz w:val="28"/>
          <w:lang w:val="en-US" w:eastAsia="zh-CN"/>
        </w:rPr>
        <w:t>5</w:t>
      </w:r>
      <w:r>
        <w:rPr>
          <w:rFonts w:hint="eastAsia" w:ascii="仿宋_GB2312" w:hAnsi="宋体" w:eastAsia="仿宋_GB2312"/>
          <w:color w:val="auto"/>
          <w:sz w:val="28"/>
        </w:rPr>
        <w:t>年</w:t>
      </w:r>
      <w:r>
        <w:rPr>
          <w:rFonts w:hint="eastAsia" w:ascii="仿宋_GB2312" w:hAnsi="宋体" w:eastAsia="仿宋_GB2312"/>
          <w:color w:val="auto"/>
          <w:sz w:val="28"/>
          <w:lang w:val="en-US" w:eastAsia="zh-CN"/>
        </w:rPr>
        <w:t xml:space="preserve">02 </w:t>
      </w:r>
      <w:r>
        <w:rPr>
          <w:rFonts w:hint="eastAsia" w:ascii="仿宋_GB2312" w:hAnsi="宋体" w:eastAsia="仿宋_GB2312"/>
          <w:color w:val="auto"/>
          <w:sz w:val="28"/>
        </w:rPr>
        <w:t>月</w:t>
      </w:r>
      <w:r>
        <w:rPr>
          <w:rFonts w:hint="eastAsia" w:ascii="仿宋_GB2312" w:hAnsi="宋体" w:eastAsia="仿宋_GB2312"/>
          <w:color w:val="auto"/>
          <w:sz w:val="28"/>
          <w:lang w:val="en-US" w:eastAsia="zh-CN"/>
        </w:rPr>
        <w:t>25</w:t>
      </w:r>
      <w:r>
        <w:rPr>
          <w:rFonts w:hint="eastAsia" w:ascii="仿宋_GB2312" w:hAnsi="宋体" w:eastAsia="仿宋_GB2312"/>
          <w:color w:val="auto"/>
          <w:sz w:val="28"/>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color w:val="auto"/>
          <w:sz w:val="28"/>
        </w:rPr>
        <w:t>6、投标截止时间：北京时间202</w:t>
      </w:r>
      <w:r>
        <w:rPr>
          <w:rFonts w:hint="eastAsia" w:ascii="仿宋_GB2312" w:hAnsi="宋体" w:eastAsia="仿宋_GB2312"/>
          <w:color w:val="auto"/>
          <w:sz w:val="28"/>
          <w:lang w:val="en-US" w:eastAsia="zh-CN"/>
        </w:rPr>
        <w:t>5</w:t>
      </w:r>
      <w:r>
        <w:rPr>
          <w:rFonts w:hint="eastAsia" w:ascii="仿宋_GB2312" w:hAnsi="宋体" w:eastAsia="仿宋_GB2312"/>
          <w:color w:val="auto"/>
          <w:sz w:val="28"/>
        </w:rPr>
        <w:t>年</w:t>
      </w:r>
      <w:r>
        <w:rPr>
          <w:rFonts w:hint="eastAsia" w:ascii="仿宋_GB2312" w:hAnsi="宋体" w:eastAsia="仿宋_GB2312"/>
          <w:color w:val="auto"/>
          <w:sz w:val="28"/>
          <w:lang w:val="en-US" w:eastAsia="zh-CN"/>
        </w:rPr>
        <w:t xml:space="preserve"> 03</w:t>
      </w:r>
      <w:r>
        <w:rPr>
          <w:rFonts w:hint="eastAsia" w:ascii="仿宋_GB2312" w:hAnsi="宋体" w:eastAsia="仿宋_GB2312"/>
          <w:color w:val="auto"/>
          <w:sz w:val="28"/>
        </w:rPr>
        <w:t>月</w:t>
      </w:r>
      <w:r>
        <w:rPr>
          <w:rFonts w:hint="eastAsia" w:ascii="仿宋_GB2312" w:hAnsi="宋体" w:eastAsia="仿宋_GB2312"/>
          <w:color w:val="auto"/>
          <w:sz w:val="28"/>
          <w:lang w:val="en-US" w:eastAsia="zh-CN"/>
        </w:rPr>
        <w:t>18</w:t>
      </w:r>
      <w:r>
        <w:rPr>
          <w:rFonts w:hint="eastAsia" w:ascii="仿宋_GB2312" w:hAnsi="宋体" w:eastAsia="仿宋_GB2312"/>
          <w:color w:val="auto"/>
          <w:sz w:val="28"/>
        </w:rPr>
        <w:t>日17：00前将密</w:t>
      </w:r>
      <w:r>
        <w:rPr>
          <w:rFonts w:hint="eastAsia" w:ascii="仿宋_GB2312" w:hAnsi="宋体" w:eastAsia="仿宋_GB2312"/>
          <w:sz w:val="28"/>
        </w:rPr>
        <w:t>封的投标文件寄（送）至昆山农村商业银行集中采购中心（以我行收到日戳为准），逾期送达的投标文件将不予接受。</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lang w:eastAsia="zh-CN"/>
        </w:rPr>
      </w:pPr>
      <w:r>
        <w:rPr>
          <w:rFonts w:hint="eastAsia" w:ascii="仿宋_GB2312" w:hAnsi="宋体" w:eastAsia="仿宋_GB2312"/>
          <w:sz w:val="28"/>
        </w:rPr>
        <w:t>7、开标时间、地点：</w:t>
      </w:r>
      <w:r>
        <w:rPr>
          <w:rFonts w:hint="eastAsia" w:ascii="仿宋_GB2312" w:hAnsi="宋体" w:eastAsia="仿宋_GB2312"/>
          <w:sz w:val="28"/>
          <w:lang w:eastAsia="zh-CN"/>
        </w:rPr>
        <w:t>另行通知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8、招标人联系方式：江苏昆山农村商业银行股份有限公司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地址：江苏省昆山市前进东路828号1510室集中采购中心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邮编：215301</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集中采购中心联系人：</w:t>
      </w:r>
      <w:r>
        <w:rPr>
          <w:rFonts w:hint="eastAsia" w:ascii="仿宋_GB2312" w:hAnsi="宋体" w:eastAsia="仿宋_GB2312"/>
          <w:sz w:val="28"/>
          <w:lang w:eastAsia="zh-CN"/>
        </w:rPr>
        <w:t>陈雷</w:t>
      </w:r>
      <w:r>
        <w:rPr>
          <w:rFonts w:hint="eastAsia" w:ascii="仿宋_GB2312" w:hAnsi="宋体" w:eastAsia="仿宋_GB2312"/>
          <w:sz w:val="28"/>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lang w:val="en-US" w:eastAsia="zh-CN"/>
        </w:rPr>
      </w:pPr>
      <w:r>
        <w:rPr>
          <w:rFonts w:hint="eastAsia" w:ascii="仿宋_GB2312" w:hAnsi="宋体" w:eastAsia="仿宋_GB2312"/>
          <w:sz w:val="28"/>
        </w:rPr>
        <w:t>联系电话：0512-5737</w:t>
      </w:r>
      <w:r>
        <w:rPr>
          <w:rFonts w:hint="eastAsia" w:ascii="仿宋_GB2312" w:hAnsi="宋体" w:eastAsia="仿宋_GB2312"/>
          <w:sz w:val="28"/>
          <w:lang w:val="en-US" w:eastAsia="zh-CN"/>
        </w:rPr>
        <w:t>1715</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auto"/>
          <w:sz w:val="28"/>
        </w:rPr>
      </w:pPr>
      <w:r>
        <w:rPr>
          <w:rFonts w:hint="eastAsia" w:ascii="仿宋_GB2312" w:hAnsi="宋体" w:eastAsia="仿宋_GB2312"/>
          <w:color w:val="auto"/>
          <w:sz w:val="28"/>
        </w:rPr>
        <w:t>项目联系人：陈忱</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联系电话：0512-57371610</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技术联系人：陈忱</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联系电话：0512-57371610</w:t>
      </w:r>
    </w:p>
    <w:p>
      <w:pPr>
        <w:spacing w:line="360" w:lineRule="auto"/>
        <w:ind w:firstLine="560" w:firstLineChars="200"/>
        <w:rPr>
          <w:rFonts w:hint="eastAsia" w:ascii="仿宋_GB2312" w:hAnsi="宋体" w:eastAsia="仿宋_GB2312"/>
          <w:sz w:val="28"/>
        </w:rPr>
      </w:pPr>
    </w:p>
    <w:p>
      <w:pPr>
        <w:pStyle w:val="2"/>
        <w:keepNext w:val="0"/>
        <w:keepLines w:val="0"/>
        <w:spacing w:line="360" w:lineRule="auto"/>
        <w:jc w:val="center"/>
        <w:rPr>
          <w:rFonts w:ascii="黑体" w:hAnsi="黑体" w:eastAsia="黑体"/>
          <w:color w:val="auto"/>
          <w:sz w:val="32"/>
          <w:szCs w:val="32"/>
        </w:rPr>
      </w:pPr>
      <w:r>
        <w:rPr>
          <w:rFonts w:hint="eastAsia" w:ascii="黑体" w:hAnsi="黑体" w:eastAsia="黑体"/>
          <w:color w:val="auto"/>
          <w:sz w:val="32"/>
          <w:szCs w:val="32"/>
        </w:rPr>
        <w:t>第二部分</w:t>
      </w:r>
      <w:r>
        <w:rPr>
          <w:rFonts w:hint="eastAsia" w:ascii="黑体" w:hAnsi="黑体" w:eastAsia="黑体"/>
          <w:color w:val="auto"/>
          <w:sz w:val="32"/>
          <w:szCs w:val="32"/>
        </w:rPr>
        <w:tab/>
      </w:r>
      <w:r>
        <w:rPr>
          <w:rFonts w:hint="eastAsia" w:ascii="黑体" w:hAnsi="黑体" w:eastAsia="黑体"/>
          <w:color w:val="auto"/>
          <w:sz w:val="32"/>
          <w:szCs w:val="32"/>
        </w:rPr>
        <w:t>招标内容及要求</w:t>
      </w:r>
    </w:p>
    <w:tbl>
      <w:tblPr>
        <w:tblStyle w:val="11"/>
        <w:tblW w:w="772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6"/>
        <w:gridCol w:w="1215"/>
        <w:gridCol w:w="1133"/>
        <w:gridCol w:w="3170"/>
        <w:gridCol w:w="736"/>
        <w:gridCol w:w="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6" w:hRule="atLeast"/>
        </w:trPr>
        <w:tc>
          <w:tcPr>
            <w:tcW w:w="626" w:type="dxa"/>
            <w:tcBorders>
              <w:tl2br w:val="nil"/>
              <w:tr2bl w:val="nil"/>
            </w:tcBorders>
            <w:shd w:val="clear" w:color="auto" w:fill="DDEBF7"/>
            <w:noWrap w:val="0"/>
            <w:vAlign w:val="center"/>
          </w:tcPr>
          <w:p>
            <w:pPr>
              <w:keepNext w:val="0"/>
              <w:keepLines w:val="0"/>
              <w:widowControl/>
              <w:suppressLineNumbers w:val="0"/>
              <w:spacing w:line="360" w:lineRule="auto"/>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215" w:type="dxa"/>
            <w:tcBorders>
              <w:tl2br w:val="nil"/>
              <w:tr2bl w:val="nil"/>
            </w:tcBorders>
            <w:shd w:val="clear" w:color="auto" w:fill="DDEBF7"/>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产品名称</w:t>
            </w:r>
          </w:p>
        </w:tc>
        <w:tc>
          <w:tcPr>
            <w:tcW w:w="1133" w:type="dxa"/>
            <w:tcBorders>
              <w:tl2br w:val="nil"/>
              <w:tr2bl w:val="nil"/>
            </w:tcBorders>
            <w:shd w:val="clear" w:color="auto" w:fill="DDEBF7"/>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型号</w:t>
            </w:r>
          </w:p>
        </w:tc>
        <w:tc>
          <w:tcPr>
            <w:tcW w:w="3170" w:type="dxa"/>
            <w:tcBorders>
              <w:tl2br w:val="nil"/>
              <w:tr2bl w:val="nil"/>
            </w:tcBorders>
            <w:shd w:val="clear" w:color="auto" w:fill="DDEBF7"/>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功能描述</w:t>
            </w:r>
          </w:p>
        </w:tc>
        <w:tc>
          <w:tcPr>
            <w:tcW w:w="736" w:type="dxa"/>
            <w:tcBorders>
              <w:tl2br w:val="nil"/>
              <w:tr2bl w:val="nil"/>
            </w:tcBorders>
            <w:shd w:val="clear" w:color="auto" w:fill="DDEBF7"/>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843" w:type="dxa"/>
            <w:tcBorders>
              <w:tl2br w:val="nil"/>
              <w:tr2bl w:val="nil"/>
            </w:tcBorders>
            <w:shd w:val="clear" w:color="auto" w:fill="DDEBF7"/>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质保服务年限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6" w:hRule="atLeast"/>
        </w:trPr>
        <w:tc>
          <w:tcPr>
            <w:tcW w:w="0" w:type="auto"/>
            <w:vMerge w:val="restart"/>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15" w:type="dxa"/>
            <w:vMerge w:val="restart"/>
            <w:tcBorders>
              <w:tl2br w:val="nil"/>
              <w:tr2bl w:val="nil"/>
            </w:tcBorders>
            <w:shd w:val="clear" w:color="auto" w:fill="auto"/>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亚信安全信舷防毒墙系统V7.0 </w:t>
            </w:r>
          </w:p>
        </w:tc>
        <w:tc>
          <w:tcPr>
            <w:tcW w:w="1133" w:type="dxa"/>
            <w:vMerge w:val="restart"/>
            <w:tcBorders>
              <w:tl2br w:val="nil"/>
              <w:tr2bl w:val="nil"/>
            </w:tcBorders>
            <w:shd w:val="clear" w:color="auto" w:fill="auto"/>
            <w:noWrap w:val="0"/>
            <w:vAlign w:val="center"/>
          </w:tcPr>
          <w:p>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AIS Edge E680</w:t>
            </w:r>
          </w:p>
        </w:tc>
        <w:tc>
          <w:tcPr>
            <w:tcW w:w="3170" w:type="dxa"/>
            <w:vMerge w:val="restart"/>
            <w:tcBorders>
              <w:tl2br w:val="nil"/>
              <w:tr2bl w:val="nil"/>
            </w:tcBorders>
            <w:shd w:val="clear" w:color="auto" w:fill="FFFFFF"/>
            <w:noWrap w:val="0"/>
            <w:vAlign w:val="center"/>
          </w:tcPr>
          <w:p>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板载自带接口：2GE+4GE Bypass，网络层吞吐率：4Gbps，防病毒吞吐率：800Mbps，电源：300W*2，扩展插槽：*2，硬件外形：软硬一体化1U标准机架式设备；                            硬盘容量：1T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注：防病毒、勒索软件防护安全模块：防病毒功能用于检测并阻止恶意程序，如勒索软件、病毒、僵木蠕、间谍软件、网页木马。可拦截间谍软件的回拨企图，阻止间谍软件下载，阻止恶意程序通过即时通信程序进行扩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IPS（含虚拟补丁）模块：主动式入侵防御系统提供了6,000+条漏洞探测及防护规则，防止恶意软件感染、漏洞利用和SQL注入, 命令注入, Webshell 攻击, XSS 攻击, CSRF 攻击。DDOS 防护, 阻止应用层攻击和非法获取权限。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VPN安全模块：提供企业网络与远程移动用户、分支机构以及业务合作伙伴的连接。允许移动用户通过便携式计算机或移动设备从 Internet 连接企业网络，同时也提供与其他远程站点的连接保护，通过严格的安全策略管理所有组件之间的通信。</w:t>
            </w:r>
          </w:p>
        </w:tc>
        <w:tc>
          <w:tcPr>
            <w:tcW w:w="736" w:type="dxa"/>
            <w:vMerge w:val="restar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843" w:type="dxa"/>
            <w:vMerge w:val="restart"/>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0" w:type="auto"/>
            <w:vMerge w:val="continue"/>
            <w:tcBorders>
              <w:tl2br w:val="nil"/>
              <w:tr2bl w:val="nil"/>
            </w:tcBorders>
            <w:shd w:val="clear" w:color="auto" w:fill="auto"/>
            <w:noWrap/>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215" w:type="dxa"/>
            <w:vMerge w:val="continue"/>
            <w:tcBorders>
              <w:tl2br w:val="nil"/>
              <w:tr2bl w:val="nil"/>
            </w:tcBorders>
            <w:shd w:val="clear" w:color="auto" w:fill="auto"/>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133" w:type="dxa"/>
            <w:vMerge w:val="continue"/>
            <w:tcBorders>
              <w:tl2br w:val="nil"/>
              <w:tr2bl w:val="nil"/>
            </w:tcBorders>
            <w:shd w:val="clear" w:color="auto" w:fill="auto"/>
            <w:noWrap w:val="0"/>
            <w:vAlign w:val="center"/>
          </w:tcPr>
          <w:p>
            <w:pPr>
              <w:spacing w:line="360" w:lineRule="auto"/>
              <w:jc w:val="left"/>
              <w:rPr>
                <w:rFonts w:hint="eastAsia" w:ascii="微软雅黑" w:hAnsi="微软雅黑" w:eastAsia="微软雅黑" w:cs="微软雅黑"/>
                <w:i w:val="0"/>
                <w:iCs w:val="0"/>
                <w:color w:val="000000"/>
                <w:sz w:val="18"/>
                <w:szCs w:val="18"/>
                <w:u w:val="none"/>
              </w:rPr>
            </w:pPr>
          </w:p>
        </w:tc>
        <w:tc>
          <w:tcPr>
            <w:tcW w:w="3170" w:type="dxa"/>
            <w:vMerge w:val="continue"/>
            <w:tcBorders>
              <w:tl2br w:val="nil"/>
              <w:tr2bl w:val="nil"/>
            </w:tcBorders>
            <w:shd w:val="clear" w:color="auto" w:fill="FFFFFF"/>
            <w:noWrap w:val="0"/>
            <w:vAlign w:val="center"/>
          </w:tcPr>
          <w:p>
            <w:pPr>
              <w:spacing w:line="360" w:lineRule="auto"/>
              <w:rPr>
                <w:rFonts w:hint="eastAsia" w:ascii="微软雅黑" w:hAnsi="微软雅黑" w:eastAsia="微软雅黑" w:cs="微软雅黑"/>
                <w:i w:val="0"/>
                <w:iCs w:val="0"/>
                <w:color w:val="000000"/>
                <w:sz w:val="18"/>
                <w:szCs w:val="18"/>
                <w:u w:val="none"/>
              </w:rPr>
            </w:pPr>
          </w:p>
        </w:tc>
        <w:tc>
          <w:tcPr>
            <w:tcW w:w="736"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843"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0" w:type="auto"/>
            <w:vMerge w:val="continue"/>
            <w:tcBorders>
              <w:tl2br w:val="nil"/>
              <w:tr2bl w:val="nil"/>
            </w:tcBorders>
            <w:shd w:val="clear" w:color="auto" w:fill="auto"/>
            <w:noWrap/>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215" w:type="dxa"/>
            <w:vMerge w:val="continue"/>
            <w:tcBorders>
              <w:tl2br w:val="nil"/>
              <w:tr2bl w:val="nil"/>
            </w:tcBorders>
            <w:shd w:val="clear" w:color="auto" w:fill="auto"/>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133" w:type="dxa"/>
            <w:vMerge w:val="continue"/>
            <w:tcBorders>
              <w:tl2br w:val="nil"/>
              <w:tr2bl w:val="nil"/>
            </w:tcBorders>
            <w:shd w:val="clear" w:color="auto" w:fill="auto"/>
            <w:noWrap w:val="0"/>
            <w:vAlign w:val="center"/>
          </w:tcPr>
          <w:p>
            <w:pPr>
              <w:spacing w:line="360" w:lineRule="auto"/>
              <w:jc w:val="left"/>
              <w:rPr>
                <w:rFonts w:hint="eastAsia" w:ascii="微软雅黑" w:hAnsi="微软雅黑" w:eastAsia="微软雅黑" w:cs="微软雅黑"/>
                <w:i w:val="0"/>
                <w:iCs w:val="0"/>
                <w:color w:val="000000"/>
                <w:sz w:val="18"/>
                <w:szCs w:val="18"/>
                <w:u w:val="none"/>
              </w:rPr>
            </w:pPr>
          </w:p>
        </w:tc>
        <w:tc>
          <w:tcPr>
            <w:tcW w:w="3170" w:type="dxa"/>
            <w:vMerge w:val="continue"/>
            <w:tcBorders>
              <w:tl2br w:val="nil"/>
              <w:tr2bl w:val="nil"/>
            </w:tcBorders>
            <w:shd w:val="clear" w:color="auto" w:fill="FFFFFF"/>
            <w:noWrap w:val="0"/>
            <w:vAlign w:val="center"/>
          </w:tcPr>
          <w:p>
            <w:pPr>
              <w:spacing w:line="360" w:lineRule="auto"/>
              <w:rPr>
                <w:rFonts w:hint="eastAsia" w:ascii="微软雅黑" w:hAnsi="微软雅黑" w:eastAsia="微软雅黑" w:cs="微软雅黑"/>
                <w:i w:val="0"/>
                <w:iCs w:val="0"/>
                <w:color w:val="000000"/>
                <w:sz w:val="18"/>
                <w:szCs w:val="18"/>
                <w:u w:val="none"/>
              </w:rPr>
            </w:pPr>
          </w:p>
        </w:tc>
        <w:tc>
          <w:tcPr>
            <w:tcW w:w="736"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843"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0" w:type="auto"/>
            <w:vMerge w:val="continue"/>
            <w:tcBorders>
              <w:tl2br w:val="nil"/>
              <w:tr2bl w:val="nil"/>
            </w:tcBorders>
            <w:shd w:val="clear" w:color="auto" w:fill="auto"/>
            <w:noWrap/>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215" w:type="dxa"/>
            <w:vMerge w:val="continue"/>
            <w:tcBorders>
              <w:tl2br w:val="nil"/>
              <w:tr2bl w:val="nil"/>
            </w:tcBorders>
            <w:shd w:val="clear" w:color="auto" w:fill="auto"/>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133" w:type="dxa"/>
            <w:vMerge w:val="continue"/>
            <w:tcBorders>
              <w:tl2br w:val="nil"/>
              <w:tr2bl w:val="nil"/>
            </w:tcBorders>
            <w:shd w:val="clear" w:color="auto" w:fill="auto"/>
            <w:noWrap w:val="0"/>
            <w:vAlign w:val="center"/>
          </w:tcPr>
          <w:p>
            <w:pPr>
              <w:spacing w:line="360" w:lineRule="auto"/>
              <w:jc w:val="left"/>
              <w:rPr>
                <w:rFonts w:hint="eastAsia" w:ascii="微软雅黑" w:hAnsi="微软雅黑" w:eastAsia="微软雅黑" w:cs="微软雅黑"/>
                <w:i w:val="0"/>
                <w:iCs w:val="0"/>
                <w:color w:val="000000"/>
                <w:sz w:val="18"/>
                <w:szCs w:val="18"/>
                <w:u w:val="none"/>
              </w:rPr>
            </w:pPr>
          </w:p>
        </w:tc>
        <w:tc>
          <w:tcPr>
            <w:tcW w:w="3170" w:type="dxa"/>
            <w:vMerge w:val="continue"/>
            <w:tcBorders>
              <w:tl2br w:val="nil"/>
              <w:tr2bl w:val="nil"/>
            </w:tcBorders>
            <w:shd w:val="clear" w:color="auto" w:fill="FFFFFF"/>
            <w:noWrap w:val="0"/>
            <w:vAlign w:val="center"/>
          </w:tcPr>
          <w:p>
            <w:pPr>
              <w:spacing w:line="360" w:lineRule="auto"/>
              <w:rPr>
                <w:rFonts w:hint="eastAsia" w:ascii="微软雅黑" w:hAnsi="微软雅黑" w:eastAsia="微软雅黑" w:cs="微软雅黑"/>
                <w:i w:val="0"/>
                <w:iCs w:val="0"/>
                <w:color w:val="000000"/>
                <w:sz w:val="18"/>
                <w:szCs w:val="18"/>
                <w:u w:val="none"/>
              </w:rPr>
            </w:pPr>
          </w:p>
        </w:tc>
        <w:tc>
          <w:tcPr>
            <w:tcW w:w="736"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843"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3" w:hRule="atLeast"/>
        </w:trPr>
        <w:tc>
          <w:tcPr>
            <w:tcW w:w="0" w:type="auto"/>
            <w:vMerge w:val="continue"/>
            <w:tcBorders>
              <w:tl2br w:val="nil"/>
              <w:tr2bl w:val="nil"/>
            </w:tcBorders>
            <w:shd w:val="clear" w:color="auto" w:fill="auto"/>
            <w:noWrap/>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215" w:type="dxa"/>
            <w:vMerge w:val="continue"/>
            <w:tcBorders>
              <w:tl2br w:val="nil"/>
              <w:tr2bl w:val="nil"/>
            </w:tcBorders>
            <w:shd w:val="clear" w:color="auto" w:fill="auto"/>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1133" w:type="dxa"/>
            <w:vMerge w:val="continue"/>
            <w:tcBorders>
              <w:tl2br w:val="nil"/>
              <w:tr2bl w:val="nil"/>
            </w:tcBorders>
            <w:shd w:val="clear" w:color="auto" w:fill="auto"/>
            <w:noWrap w:val="0"/>
            <w:vAlign w:val="center"/>
          </w:tcPr>
          <w:p>
            <w:pPr>
              <w:spacing w:line="360" w:lineRule="auto"/>
              <w:jc w:val="left"/>
              <w:rPr>
                <w:rFonts w:hint="eastAsia" w:ascii="微软雅黑" w:hAnsi="微软雅黑" w:eastAsia="微软雅黑" w:cs="微软雅黑"/>
                <w:i w:val="0"/>
                <w:iCs w:val="0"/>
                <w:color w:val="000000"/>
                <w:sz w:val="18"/>
                <w:szCs w:val="18"/>
                <w:u w:val="none"/>
              </w:rPr>
            </w:pPr>
          </w:p>
        </w:tc>
        <w:tc>
          <w:tcPr>
            <w:tcW w:w="3170" w:type="dxa"/>
            <w:vMerge w:val="continue"/>
            <w:tcBorders>
              <w:tl2br w:val="nil"/>
              <w:tr2bl w:val="nil"/>
            </w:tcBorders>
            <w:shd w:val="clear" w:color="auto" w:fill="FFFFFF"/>
            <w:noWrap w:val="0"/>
            <w:vAlign w:val="center"/>
          </w:tcPr>
          <w:p>
            <w:pPr>
              <w:spacing w:line="360" w:lineRule="auto"/>
              <w:rPr>
                <w:rFonts w:hint="eastAsia" w:ascii="微软雅黑" w:hAnsi="微软雅黑" w:eastAsia="微软雅黑" w:cs="微软雅黑"/>
                <w:i w:val="0"/>
                <w:iCs w:val="0"/>
                <w:color w:val="000000"/>
                <w:sz w:val="18"/>
                <w:szCs w:val="18"/>
                <w:u w:val="none"/>
              </w:rPr>
            </w:pPr>
          </w:p>
        </w:tc>
        <w:tc>
          <w:tcPr>
            <w:tcW w:w="736"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c>
          <w:tcPr>
            <w:tcW w:w="843" w:type="dxa"/>
            <w:vMerge w:val="continue"/>
            <w:tcBorders>
              <w:tl2br w:val="nil"/>
              <w:tr2bl w:val="nil"/>
            </w:tcBorders>
            <w:noWrap w:val="0"/>
            <w:vAlign w:val="center"/>
          </w:tcPr>
          <w:p>
            <w:pPr>
              <w:spacing w:line="360" w:lineRule="auto"/>
              <w:jc w:val="center"/>
              <w:rPr>
                <w:rFonts w:hint="eastAsia" w:ascii="微软雅黑" w:hAnsi="微软雅黑" w:eastAsia="微软雅黑" w:cs="微软雅黑"/>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6" w:hRule="atLeast"/>
        </w:trPr>
        <w:tc>
          <w:tcPr>
            <w:tcW w:w="0" w:type="auto"/>
            <w:tcBorders>
              <w:tl2br w:val="nil"/>
              <w:tr2bl w:val="nil"/>
            </w:tcBorders>
            <w:shd w:val="clear" w:color="auto" w:fill="auto"/>
            <w:noWrap/>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215" w:type="dxa"/>
            <w:tcBorders>
              <w:tl2br w:val="nil"/>
              <w:tr2bl w:val="nil"/>
            </w:tcBorders>
            <w:shd w:val="clear" w:color="auto" w:fill="auto"/>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亚信安全防毒墙网络版软件 V16.0 </w:t>
            </w:r>
          </w:p>
        </w:tc>
        <w:tc>
          <w:tcPr>
            <w:tcW w:w="1133" w:type="dxa"/>
            <w:tcBorders>
              <w:tl2br w:val="nil"/>
              <w:tr2bl w:val="nil"/>
            </w:tcBorders>
            <w:shd w:val="clear" w:color="auto" w:fill="auto"/>
            <w:noWrap w:val="0"/>
            <w:vAlign w:val="center"/>
          </w:tcPr>
          <w:p>
            <w:pPr>
              <w:keepNext w:val="0"/>
              <w:keepLines w:val="0"/>
              <w:widowControl/>
              <w:suppressLineNumbers w:val="0"/>
              <w:spacing w:line="36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OSCE v16客户机版</w:t>
            </w:r>
          </w:p>
        </w:tc>
        <w:tc>
          <w:tcPr>
            <w:tcW w:w="3170" w:type="dxa"/>
            <w:tcBorders>
              <w:tl2br w:val="nil"/>
              <w:tr2bl w:val="nil"/>
            </w:tcBorders>
            <w:shd w:val="clear" w:color="auto" w:fill="FFFFFF"/>
            <w:noWrap w:val="0"/>
            <w:vAlign w:val="center"/>
          </w:tcPr>
          <w:p>
            <w:pPr>
              <w:keepNext w:val="0"/>
              <w:keepLines w:val="0"/>
              <w:widowControl/>
              <w:suppressLineNumbers w:val="0"/>
              <w:spacing w:line="360" w:lineRule="auto"/>
              <w:jc w:val="left"/>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防病毒软件（客户机版）解决方案。抵御病毒、间谍软件、网络钓鱼和其它灰色软件的攻击。同时提供集中的管理、监控、更新和部署等功能，并具备主机防火墙、爆发阻止、Web站点信誉服务、预测机器学习、行为监控、勒索病毒防护等能力。</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支持平台：Windows XP/7/8/8.1/10及相关信创系统</w:t>
            </w:r>
          </w:p>
        </w:tc>
        <w:tc>
          <w:tcPr>
            <w:tcW w:w="736"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1200</w:t>
            </w:r>
          </w:p>
        </w:tc>
        <w:tc>
          <w:tcPr>
            <w:tcW w:w="843" w:type="dxa"/>
            <w:tcBorders>
              <w:tl2br w:val="nil"/>
              <w:tr2bl w:val="nil"/>
            </w:tcBorders>
            <w:noWrap w:val="0"/>
            <w:vAlign w:val="center"/>
          </w:tcPr>
          <w:p>
            <w:pPr>
              <w:keepNext w:val="0"/>
              <w:keepLines w:val="0"/>
              <w:widowControl/>
              <w:suppressLineNumbers w:val="0"/>
              <w:spacing w:line="36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三年</w:t>
            </w:r>
          </w:p>
        </w:tc>
      </w:tr>
    </w:tbl>
    <w:p>
      <w:pPr>
        <w:snapToGrid w:val="0"/>
        <w:spacing w:line="360" w:lineRule="auto"/>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snapToGrid w:val="0"/>
        <w:spacing w:line="360" w:lineRule="auto"/>
        <w:ind w:firstLine="2560" w:firstLineChars="800"/>
        <w:rPr>
          <w:rFonts w:ascii="黑体" w:hAnsi="宋体" w:eastAsia="黑体"/>
          <w:color w:val="FF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hAnsi="黑体" w:eastAsia="黑体"/>
          <w:snapToGrid w:val="0"/>
          <w:sz w:val="32"/>
          <w:szCs w:val="32"/>
        </w:rPr>
      </w:pPr>
      <w:r>
        <w:rPr>
          <w:rFonts w:hint="eastAsia" w:ascii="黑体" w:hAnsi="黑体" w:eastAsia="黑体"/>
          <w:snapToGrid w:val="0"/>
          <w:sz w:val="32"/>
          <w:szCs w:val="32"/>
        </w:rPr>
        <w:t>第三部分</w:t>
      </w:r>
      <w:r>
        <w:rPr>
          <w:rFonts w:hint="eastAsia" w:ascii="黑体" w:hAnsi="黑体" w:eastAsia="黑体"/>
          <w:snapToGrid w:val="0"/>
          <w:sz w:val="32"/>
          <w:szCs w:val="32"/>
        </w:rPr>
        <w:tab/>
      </w:r>
      <w:r>
        <w:rPr>
          <w:rFonts w:hint="eastAsia" w:ascii="黑体" w:hAnsi="黑体" w:eastAsia="黑体"/>
          <w:snapToGrid w:val="0"/>
          <w:sz w:val="32"/>
          <w:szCs w:val="32"/>
        </w:rPr>
        <w:t>招标说明</w:t>
      </w:r>
    </w:p>
    <w:p>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napToGrid w:val="0"/>
          <w:color w:val="000000"/>
          <w:kern w:val="0"/>
          <w:sz w:val="28"/>
          <w:szCs w:val="28"/>
        </w:rPr>
        <w:t>一</w:t>
      </w:r>
      <w:r>
        <w:rPr>
          <w:rFonts w:hint="eastAsia" w:ascii="仿宋" w:hAnsi="仿宋" w:eastAsia="仿宋"/>
          <w:sz w:val="28"/>
          <w:szCs w:val="28"/>
        </w:rPr>
        <w:t>、总体说明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（一）适用范围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本招标文件仅适用于江苏昆山农村商业银行股份有限公司（以下简称“昆山农商银行”）采购而进行的公开招标。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（二）定义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1、“招标人”系指组织本次招标的招标机构：昆山农商银行；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2、“投标人”系指遵守招标文件要求并向招标人提交投标文件的法人单位；</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3、“设备（系统）”系指投标人按招标文件规定，须向招标人提供的设备、软件系统、备品备件、工具、手册及其他有关技术资料和材料；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4、“服务”系指招标文件规定投标人须承担的技术服务、运输、安装调试、人员培训、售后服务和其他类似的义务；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5、“招标文件”系指本文件及其附件，如招标人对招标文件及其附件进行有效的修改或澄清，则该修改和澄清构成招标文件不可分割的一部分；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7、“无效的投标文件”系指属于下列情况之一者，将作为无效处理：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1）投标文件未按招标文件的要求密封；</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 投标文件未盖公章或未经法定代表人（或授权代理人）签字；</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3）投标文件未按招标文件规定的格式、内容和要求填写；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4）在投标文件截止期后送达或是通过电报、电话、电传、传真投标文件；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5）投标文件字迹模糊不清无法辨认的；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6）投标人在投标文件中提供虚假信息的；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7）投标文件未送达指定地点，指定接收人。</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（三）对投标人的要求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1、投标方必须为具有独立企业法人资格，具有合法名称、组织机构、固定的办公场所，注册资本要求不少于</w:t>
      </w:r>
      <w:r>
        <w:rPr>
          <w:rFonts w:hint="eastAsia" w:ascii="仿宋_GB2312" w:hAnsi="宋体" w:eastAsia="仿宋_GB2312"/>
          <w:color w:val="auto"/>
          <w:sz w:val="28"/>
          <w:lang w:val="en-US" w:eastAsia="zh-CN"/>
        </w:rPr>
        <w:t>2</w:t>
      </w:r>
      <w:r>
        <w:rPr>
          <w:rFonts w:hint="eastAsia" w:ascii="仿宋_GB2312" w:hAnsi="宋体" w:eastAsia="仿宋_GB2312"/>
          <w:color w:val="auto"/>
          <w:sz w:val="28"/>
        </w:rPr>
        <w:t>00万元人民币（或等值外币），注册时间不少于</w:t>
      </w:r>
      <w:r>
        <w:rPr>
          <w:rFonts w:hint="eastAsia" w:ascii="仿宋_GB2312" w:hAnsi="宋体" w:eastAsia="仿宋_GB2312"/>
          <w:color w:val="auto"/>
          <w:sz w:val="28"/>
          <w:lang w:val="en-US" w:eastAsia="zh-CN"/>
        </w:rPr>
        <w:t>3</w:t>
      </w:r>
      <w:r>
        <w:rPr>
          <w:rFonts w:hint="eastAsia" w:ascii="仿宋_GB2312" w:hAnsi="宋体" w:eastAsia="仿宋_GB2312"/>
          <w:color w:val="auto"/>
          <w:sz w:val="28"/>
        </w:rPr>
        <w:t>年，具有良好的技术力量、商业信誉和售后服务体系；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2、投标人需提供投标产品原厂商的授权证明，若为代理商，则需提供原厂商的授权函、质保函、代理资质证明；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3、交货时需提供所供货物的保修确认书，保修期由原厂确认；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4、 江苏、上海地区之外投标人需在江苏地区有正式的分支机构；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5、投标人必须具有良好的经济和技术实力，能够按时提交招标人要求的交付件，并能够及时地提供招标人要求的优质服务；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6、投标人必须具有良好的银行资信和商业信誉，没有违法、违约记录，不处于被责令停业，财产被接管、冻结、破产等非正常经营状态；</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7、投标人不得联合第三方共同投标，否则取消投标资格，且不允许中标后将本招标进行分包、转包；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auto"/>
          <w:sz w:val="28"/>
          <w:lang w:eastAsia="zh-CN"/>
        </w:rPr>
      </w:pPr>
      <w:r>
        <w:rPr>
          <w:rFonts w:hint="eastAsia" w:ascii="仿宋_GB2312" w:hAnsi="宋体" w:eastAsia="仿宋_GB2312"/>
          <w:color w:val="auto"/>
          <w:sz w:val="28"/>
        </w:rPr>
        <w:t>8、对标的物中包含的第三方产品和服务，要求投标方出具第三方授权书（包括产品、服务功能和价格），招标人保留对该第三方资格认定及与其直接签署合同的权利</w:t>
      </w:r>
      <w:r>
        <w:rPr>
          <w:rFonts w:hint="eastAsia" w:ascii="仿宋_GB2312" w:hAnsi="宋体" w:eastAsia="仿宋_GB2312"/>
          <w:color w:val="auto"/>
          <w:sz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olor w:val="auto"/>
          <w:sz w:val="28"/>
          <w:lang w:val="en-US" w:eastAsia="zh-CN"/>
        </w:rPr>
      </w:pPr>
      <w:r>
        <w:rPr>
          <w:rFonts w:hint="eastAsia" w:ascii="仿宋_GB2312" w:hAnsi="宋体" w:eastAsia="仿宋_GB2312"/>
          <w:color w:val="auto"/>
          <w:sz w:val="28"/>
          <w:lang w:val="en-US" w:eastAsia="zh-CN"/>
        </w:rPr>
        <w:t>9、投标人须具备近三年内（2022年1月至今），各类企事业单位防病毒案例至少3例；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10、符合条件需报名的供应商，可在昆山农商银行采购管理平台(https://zbcgzx.ksrcb.com:30018/)上完成注册。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（四）投标费用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投标人应自行承担与参加投标有关的全部费用，招标人在任何情况下无义务和责任承担上述费用。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（五）投标保证金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仿宋_GB2312" w:hAnsi="仿宋" w:eastAsia="仿宋_GB2312"/>
          <w:sz w:val="28"/>
          <w:highlight w:val="none"/>
        </w:rPr>
      </w:pPr>
      <w:r>
        <w:rPr>
          <w:rFonts w:hint="eastAsia" w:ascii="仿宋_GB2312" w:hAnsi="仿宋" w:eastAsia="仿宋_GB2312"/>
          <w:sz w:val="28"/>
          <w:highlight w:val="none"/>
        </w:rPr>
        <w:t>1、项目投标保证金信息</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仿宋" w:eastAsia="仿宋_GB2312"/>
          <w:sz w:val="28"/>
          <w:highlight w:val="none"/>
        </w:rPr>
        <w:t>□</w:t>
      </w:r>
      <w:r>
        <w:rPr>
          <w:rFonts w:hint="eastAsia" w:ascii="仿宋_GB2312" w:hAnsi="宋体" w:eastAsia="仿宋_GB2312"/>
          <w:sz w:val="28"/>
          <w:highlight w:val="none"/>
        </w:rPr>
        <w:t>有</w:t>
      </w:r>
      <w:r>
        <w:rPr>
          <w:rFonts w:hint="eastAsia" w:ascii="仿宋_GB2312" w:hAnsi="仿宋" w:eastAsia="仿宋_GB2312"/>
          <w:sz w:val="28"/>
          <w:highlight w:val="none"/>
        </w:rPr>
        <w:t>投标</w:t>
      </w:r>
      <w:r>
        <w:rPr>
          <w:rFonts w:hint="eastAsia" w:ascii="仿宋_GB2312" w:hAnsi="宋体" w:eastAsia="仿宋_GB2312"/>
          <w:sz w:val="28"/>
          <w:highlight w:val="none"/>
        </w:rPr>
        <w:t xml:space="preserve">保证金    </w:t>
      </w:r>
      <w:r>
        <w:rPr>
          <w:rFonts w:hint="eastAsia" w:ascii="仿宋_GB2312" w:hAnsi="仿宋" w:eastAsia="仿宋_GB2312"/>
          <w:sz w:val="28"/>
          <w:highlight w:val="none"/>
          <w:lang w:eastAsia="zh-CN"/>
        </w:rPr>
        <w:t>☑</w:t>
      </w:r>
      <w:r>
        <w:rPr>
          <w:rFonts w:hint="eastAsia" w:ascii="仿宋_GB2312" w:hAnsi="宋体" w:eastAsia="仿宋_GB2312"/>
          <w:sz w:val="28"/>
          <w:highlight w:val="none"/>
        </w:rPr>
        <w:t>无</w:t>
      </w:r>
      <w:r>
        <w:rPr>
          <w:rFonts w:hint="eastAsia" w:ascii="仿宋_GB2312" w:hAnsi="仿宋" w:eastAsia="仿宋_GB2312"/>
          <w:sz w:val="28"/>
          <w:highlight w:val="none"/>
        </w:rPr>
        <w:t>投标</w:t>
      </w:r>
      <w:r>
        <w:rPr>
          <w:rFonts w:hint="eastAsia" w:ascii="仿宋_GB2312" w:hAnsi="宋体" w:eastAsia="仿宋_GB2312"/>
          <w:sz w:val="28"/>
          <w:highlight w:val="none"/>
        </w:rPr>
        <w:t xml:space="preserve">保证金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u w:val="single"/>
        </w:rPr>
      </w:pPr>
      <w:r>
        <w:rPr>
          <w:rFonts w:hint="eastAsia" w:ascii="仿宋_GB2312" w:hAnsi="宋体" w:eastAsia="仿宋_GB2312"/>
          <w:sz w:val="28"/>
          <w:highlight w:val="none"/>
        </w:rPr>
        <w:t>投标保证金金额（小写）：</w:t>
      </w:r>
      <w:r>
        <w:rPr>
          <w:rFonts w:hint="eastAsia" w:ascii="仿宋_GB2312" w:hAnsi="宋体" w:eastAsia="仿宋_GB2312"/>
          <w:sz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u w:val="single"/>
        </w:rPr>
      </w:pPr>
      <w:r>
        <w:rPr>
          <w:rFonts w:hint="eastAsia" w:ascii="仿宋_GB2312" w:hAnsi="宋体" w:eastAsia="仿宋_GB2312"/>
          <w:sz w:val="28"/>
          <w:highlight w:val="none"/>
        </w:rPr>
        <w:t xml:space="preserve">              （大写）：</w:t>
      </w:r>
      <w:r>
        <w:rPr>
          <w:rFonts w:hint="eastAsia" w:ascii="仿宋_GB2312" w:hAnsi="宋体" w:eastAsia="仿宋_GB2312"/>
          <w:sz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宋体" w:eastAsia="仿宋_GB2312"/>
          <w:sz w:val="28"/>
          <w:highlight w:val="none"/>
        </w:rPr>
        <w:t>户名：昆山农商银行投标保证金专户</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宋体" w:eastAsia="仿宋_GB2312"/>
          <w:sz w:val="28"/>
          <w:highlight w:val="none"/>
        </w:rPr>
        <w:t>账号：3052252018224116010001</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宋体" w:eastAsia="仿宋_GB2312"/>
          <w:sz w:val="28"/>
          <w:highlight w:val="none"/>
        </w:rPr>
        <w:t>开户行名称：昆山农村商业银行营业部</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宋体" w:eastAsia="仿宋_GB2312"/>
          <w:sz w:val="28"/>
          <w:highlight w:val="none"/>
        </w:rPr>
        <w:t>行号：314305206650</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2、投标保证金的缴纳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1</w:t>
      </w:r>
      <w:r>
        <w:rPr>
          <w:rFonts w:hint="eastAsia" w:ascii="仿宋_GB2312" w:hAnsi="宋体" w:eastAsia="仿宋_GB2312"/>
          <w:sz w:val="28"/>
          <w:highlight w:val="none"/>
        </w:rPr>
        <w:t>）投标人应在投标前通过我行指定账户足额缴纳投标保证金，投标人缴纳投标保证金后，及时将回执单电子档发招标人邮箱，以便招标人审核，招标人邮箱：</w:t>
      </w:r>
      <w:r>
        <w:rPr>
          <w:highlight w:val="none"/>
        </w:rPr>
        <w:fldChar w:fldCharType="begin"/>
      </w:r>
      <w:r>
        <w:rPr>
          <w:highlight w:val="none"/>
        </w:rPr>
        <w:instrText xml:space="preserve"> HYPERLINK "mailto:zbcgzx@ksrcb.com" </w:instrText>
      </w:r>
      <w:r>
        <w:rPr>
          <w:highlight w:val="none"/>
        </w:rPr>
        <w:fldChar w:fldCharType="separate"/>
      </w:r>
      <w:r>
        <w:rPr>
          <w:rStyle w:val="14"/>
          <w:rFonts w:ascii="仿宋_GB2312" w:hAnsi="宋体" w:eastAsia="仿宋_GB2312"/>
          <w:sz w:val="28"/>
          <w:highlight w:val="none"/>
        </w:rPr>
        <w:t>zbcgzx@ksrcb.com</w:t>
      </w:r>
      <w:r>
        <w:rPr>
          <w:rStyle w:val="14"/>
          <w:rFonts w:ascii="仿宋_GB2312" w:hAnsi="宋体" w:eastAsia="仿宋_GB2312"/>
          <w:sz w:val="28"/>
          <w:highlight w:val="none"/>
        </w:rPr>
        <w:fldChar w:fldCharType="end"/>
      </w:r>
      <w:r>
        <w:rPr>
          <w:rFonts w:ascii="仿宋_GB2312" w:hAnsi="宋体" w:eastAsia="仿宋_GB2312"/>
          <w:sz w:val="28"/>
          <w:highlight w:val="none"/>
        </w:rPr>
        <w:t>，</w:t>
      </w:r>
      <w:r>
        <w:rPr>
          <w:rFonts w:hint="eastAsia" w:ascii="仿宋_GB2312" w:hAnsi="宋体" w:eastAsia="仿宋_GB2312"/>
          <w:sz w:val="28"/>
          <w:highlight w:val="none"/>
        </w:rPr>
        <w:t>并将该转账凭证单独密封后寄（送）至招标管理办公室；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2</w:t>
      </w:r>
      <w:r>
        <w:rPr>
          <w:rFonts w:hint="eastAsia" w:ascii="仿宋_GB2312" w:hAnsi="宋体" w:eastAsia="仿宋_GB2312"/>
          <w:sz w:val="28"/>
          <w:highlight w:val="none"/>
        </w:rPr>
        <w:t>）投标保证金需以投标人名义采用银行转账或汇款等方式缴纳，不接受现金或个人账户缴纳保证金。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3</w:t>
      </w:r>
      <w:r>
        <w:rPr>
          <w:rFonts w:hint="eastAsia" w:ascii="仿宋_GB2312" w:hAnsi="宋体" w:eastAsia="仿宋_GB2312"/>
          <w:sz w:val="28"/>
          <w:highlight w:val="none"/>
        </w:rPr>
        <w:t>）投标人在缴纳投标保证金时，需在进帐凭证上注明投标单位全称，投标项目编号和名称，联系人及联系方式。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）凡出现投标保证金未到位或未足额缴纳等与招标文件要求不一致的情况，均自动取消投标人参加该项目的投标资格；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仿宋_GB2312" w:hAnsi="宋体" w:eastAsia="仿宋_GB2312"/>
          <w:sz w:val="28"/>
          <w:highlight w:val="none"/>
        </w:rPr>
      </w:pPr>
      <w:r>
        <w:rPr>
          <w:rFonts w:ascii="仿宋_GB2312" w:hAnsi="宋体" w:eastAsia="仿宋_GB2312"/>
          <w:sz w:val="28"/>
          <w:highlight w:val="none"/>
        </w:rPr>
        <w:t>3</w:t>
      </w:r>
      <w:r>
        <w:rPr>
          <w:rFonts w:hint="eastAsia" w:ascii="仿宋_GB2312" w:hAnsi="宋体" w:eastAsia="仿宋_GB2312"/>
          <w:sz w:val="28"/>
          <w:highlight w:val="none"/>
        </w:rPr>
        <w:t>、投标保证金的扣划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投标过程中发生以下情形时，予以投标保证金的扣划，并按相关规定处理：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（1）投标人在有效期内发生随意撤回、撤销投标行为的；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2）投标人中标后无正当理由拒签合同的；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3）投标人中标后未按招标人要求足额缴纳履约保证金的；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4）其他违法违规行为，经查实情况属实的；</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、投标保证金的退还</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hint="eastAsia" w:ascii="仿宋_GB2312" w:hAnsi="宋体" w:eastAsia="仿宋_GB2312"/>
          <w:sz w:val="28"/>
          <w:highlight w:val="none"/>
        </w:rPr>
        <w:t>（1）招标人如有需要要求中标方缴纳履约保证金的，投标人中标后，在中标人与招标人签订正式合同后，投标人投标保证金转入其履约保证金账户；如投标人中标后投标保证金</w:t>
      </w:r>
      <w:r>
        <w:rPr>
          <w:rFonts w:ascii="仿宋_GB2312" w:hAnsi="宋体" w:eastAsia="仿宋_GB2312"/>
          <w:sz w:val="28"/>
          <w:highlight w:val="none"/>
        </w:rPr>
        <w:t>不</w:t>
      </w:r>
      <w:r>
        <w:rPr>
          <w:rFonts w:hint="eastAsia" w:ascii="仿宋_GB2312" w:hAnsi="宋体" w:eastAsia="仿宋_GB2312"/>
          <w:sz w:val="28"/>
          <w:highlight w:val="none"/>
        </w:rPr>
        <w:t>转入其履约保证金账户的，请投标人在投标时书面申明。</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hint="eastAsia" w:ascii="仿宋_GB2312" w:hAnsi="宋体" w:eastAsia="仿宋_GB2312"/>
          <w:sz w:val="28"/>
          <w:highlight w:val="none"/>
        </w:rPr>
        <w:t>（2）投标人未中标，招标人按照“资金从哪里来，原样回那里去”的原则退还投标人投标保证金。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hint="eastAsia" w:ascii="仿宋_GB2312" w:hAnsi="宋体" w:eastAsia="仿宋_GB2312"/>
          <w:sz w:val="28"/>
          <w:highlight w:val="none"/>
        </w:rPr>
        <w:t>（3）投标保证金不计息。</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（六）履约保证金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仿宋_GB2312" w:hAnsi="仿宋" w:eastAsia="仿宋_GB2312"/>
          <w:sz w:val="28"/>
          <w:highlight w:val="none"/>
        </w:rPr>
      </w:pPr>
      <w:r>
        <w:rPr>
          <w:rFonts w:hint="eastAsia" w:ascii="仿宋_GB2312" w:hAnsi="仿宋" w:eastAsia="仿宋_GB2312"/>
          <w:sz w:val="28"/>
          <w:highlight w:val="none"/>
        </w:rPr>
        <w:t>1、项目履约保证金信息</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仿宋" w:eastAsia="仿宋_GB2312"/>
          <w:sz w:val="28"/>
          <w:highlight w:val="none"/>
          <w:lang w:eastAsia="zh-CN"/>
        </w:rPr>
        <w:t>□</w:t>
      </w:r>
      <w:r>
        <w:rPr>
          <w:rFonts w:hint="eastAsia" w:ascii="仿宋_GB2312" w:hAnsi="宋体" w:eastAsia="仿宋_GB2312"/>
          <w:sz w:val="28"/>
          <w:highlight w:val="none"/>
        </w:rPr>
        <w:t>有</w:t>
      </w:r>
      <w:r>
        <w:rPr>
          <w:rFonts w:hint="eastAsia" w:ascii="仿宋_GB2312" w:hAnsi="仿宋" w:eastAsia="仿宋_GB2312"/>
          <w:sz w:val="28"/>
          <w:highlight w:val="none"/>
        </w:rPr>
        <w:t>履约</w:t>
      </w:r>
      <w:r>
        <w:rPr>
          <w:rFonts w:hint="eastAsia" w:ascii="仿宋_GB2312" w:hAnsi="宋体" w:eastAsia="仿宋_GB2312"/>
          <w:sz w:val="28"/>
          <w:highlight w:val="none"/>
        </w:rPr>
        <w:t xml:space="preserve">保证金           </w:t>
      </w:r>
      <w:r>
        <w:rPr>
          <w:rFonts w:hint="eastAsia" w:ascii="仿宋_GB2312" w:hAnsi="仿宋" w:eastAsia="仿宋_GB2312"/>
          <w:sz w:val="28"/>
          <w:highlight w:val="none"/>
          <w:lang w:eastAsia="zh-CN"/>
        </w:rPr>
        <w:t>☑</w:t>
      </w:r>
      <w:r>
        <w:rPr>
          <w:rFonts w:hint="eastAsia" w:ascii="仿宋_GB2312" w:hAnsi="宋体" w:eastAsia="仿宋_GB2312"/>
          <w:sz w:val="28"/>
          <w:highlight w:val="none"/>
        </w:rPr>
        <w:t>无</w:t>
      </w:r>
      <w:r>
        <w:rPr>
          <w:rFonts w:hint="eastAsia" w:ascii="仿宋_GB2312" w:hAnsi="仿宋" w:eastAsia="仿宋_GB2312"/>
          <w:sz w:val="28"/>
          <w:highlight w:val="none"/>
        </w:rPr>
        <w:t>履约</w:t>
      </w:r>
      <w:r>
        <w:rPr>
          <w:rFonts w:hint="eastAsia" w:ascii="仿宋_GB2312" w:hAnsi="宋体" w:eastAsia="仿宋_GB2312"/>
          <w:sz w:val="28"/>
          <w:highlight w:val="none"/>
        </w:rPr>
        <w:t xml:space="preserve">保证金      </w:t>
      </w:r>
      <w:bookmarkStart w:id="0" w:name="_GoBack"/>
      <w:bookmarkEnd w:id="0"/>
      <w:r>
        <w:rPr>
          <w:rFonts w:hint="eastAsia" w:ascii="仿宋_GB2312" w:hAnsi="宋体" w:eastAsia="仿宋_GB2312"/>
          <w:sz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highlight w:val="none"/>
        </w:rPr>
      </w:pPr>
      <w:r>
        <w:rPr>
          <w:rFonts w:hint="eastAsia" w:ascii="仿宋_GB2312" w:hAnsi="宋体" w:eastAsia="仿宋_GB2312"/>
          <w:sz w:val="28"/>
          <w:highlight w:val="none"/>
        </w:rPr>
        <w:t>接到中标通知后五日内向招标人指定账户缴纳中标金额的</w:t>
      </w:r>
      <w:r>
        <w:rPr>
          <w:rFonts w:ascii="仿宋_GB2312" w:hAnsi="宋体" w:eastAsia="仿宋_GB2312"/>
          <w:sz w:val="28"/>
          <w:highlight w:val="none"/>
        </w:rPr>
        <w:t>10</w:t>
      </w:r>
      <w:r>
        <w:rPr>
          <w:rFonts w:hint="eastAsia" w:ascii="仿宋_GB2312" w:hAnsi="宋体" w:eastAsia="仿宋_GB2312"/>
          <w:sz w:val="28"/>
          <w:highlight w:val="none"/>
        </w:rPr>
        <w:t>%</w:t>
      </w:r>
      <w:r>
        <w:rPr>
          <w:rFonts w:ascii="仿宋_GB2312" w:hAnsi="宋体" w:eastAsia="仿宋_GB2312"/>
          <w:sz w:val="28"/>
          <w:highlight w:val="none"/>
        </w:rPr>
        <w:t>作为</w:t>
      </w:r>
      <w:r>
        <w:rPr>
          <w:rFonts w:hint="eastAsia" w:ascii="仿宋_GB2312" w:hAnsi="宋体" w:eastAsia="仿宋_GB2312"/>
          <w:sz w:val="28"/>
          <w:highlight w:val="none"/>
        </w:rPr>
        <w:t>履行合同条款；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2、</w:t>
      </w:r>
      <w:r>
        <w:rPr>
          <w:rFonts w:hint="eastAsia" w:ascii="仿宋_GB2312" w:hAnsi="仿宋" w:eastAsia="仿宋_GB2312"/>
          <w:sz w:val="28"/>
          <w:highlight w:val="none"/>
        </w:rPr>
        <w:t>履约</w:t>
      </w:r>
      <w:r>
        <w:rPr>
          <w:rFonts w:hint="eastAsia" w:ascii="仿宋_GB2312" w:hAnsi="宋体" w:eastAsia="仿宋_GB2312"/>
          <w:sz w:val="28"/>
          <w:highlight w:val="none"/>
        </w:rPr>
        <w:t>保证金的缴纳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（1）</w:t>
      </w:r>
      <w:r>
        <w:rPr>
          <w:rFonts w:hint="eastAsia" w:ascii="仿宋_GB2312" w:hAnsi="仿宋" w:eastAsia="仿宋_GB2312"/>
          <w:sz w:val="28"/>
          <w:highlight w:val="none"/>
        </w:rPr>
        <w:t>履约</w:t>
      </w:r>
      <w:r>
        <w:rPr>
          <w:rFonts w:hint="eastAsia" w:ascii="仿宋_GB2312" w:hAnsi="宋体" w:eastAsia="仿宋_GB2312"/>
          <w:sz w:val="28"/>
          <w:highlight w:val="none"/>
        </w:rPr>
        <w:t>保证金需以投标人名义采用银行转账或汇款等方式缴纳，不接受现金或个人账户缴纳保证金。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（2）投标人在缴纳</w:t>
      </w:r>
      <w:r>
        <w:rPr>
          <w:rFonts w:hint="eastAsia" w:ascii="仿宋_GB2312" w:hAnsi="仿宋" w:eastAsia="仿宋_GB2312"/>
          <w:sz w:val="28"/>
          <w:highlight w:val="none"/>
        </w:rPr>
        <w:t>履约</w:t>
      </w:r>
      <w:r>
        <w:rPr>
          <w:rFonts w:hint="eastAsia" w:ascii="仿宋_GB2312" w:hAnsi="宋体" w:eastAsia="仿宋_GB2312"/>
          <w:sz w:val="28"/>
          <w:highlight w:val="none"/>
        </w:rPr>
        <w:t>保证金时，需在进帐凭证上注明投标单位全称，投标项目编号和名称，联系人及联系方式。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仿宋_GB2312" w:hAnsi="宋体" w:eastAsia="仿宋_GB2312"/>
          <w:sz w:val="28"/>
          <w:highlight w:val="none"/>
        </w:rPr>
      </w:pPr>
      <w:r>
        <w:rPr>
          <w:rFonts w:ascii="仿宋_GB2312" w:hAnsi="宋体" w:eastAsia="仿宋_GB2312"/>
          <w:sz w:val="28"/>
          <w:highlight w:val="none"/>
        </w:rPr>
        <w:t>3</w:t>
      </w:r>
      <w:r>
        <w:rPr>
          <w:rFonts w:hint="eastAsia" w:ascii="仿宋_GB2312" w:hAnsi="宋体" w:eastAsia="仿宋_GB2312"/>
          <w:sz w:val="28"/>
          <w:highlight w:val="none"/>
        </w:rPr>
        <w:t>、</w:t>
      </w:r>
      <w:r>
        <w:rPr>
          <w:rFonts w:hint="eastAsia" w:ascii="仿宋_GB2312" w:hAnsi="仿宋" w:eastAsia="仿宋_GB2312"/>
          <w:sz w:val="28"/>
          <w:highlight w:val="none"/>
        </w:rPr>
        <w:t>履约</w:t>
      </w:r>
      <w:r>
        <w:rPr>
          <w:rFonts w:hint="eastAsia" w:ascii="仿宋_GB2312" w:hAnsi="宋体" w:eastAsia="仿宋_GB2312"/>
          <w:sz w:val="28"/>
          <w:highlight w:val="none"/>
        </w:rPr>
        <w:t>保证金的扣划</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hint="eastAsia" w:ascii="仿宋_GB2312" w:hAnsi="宋体" w:eastAsia="仿宋_GB2312"/>
          <w:sz w:val="28"/>
          <w:highlight w:val="none"/>
        </w:rPr>
        <w:t>当合同执行过程中发生违反合同规定或违约行为时，应扣划投标人缴纳的履约保证金。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w:t>
      </w:r>
      <w:r>
        <w:rPr>
          <w:rFonts w:hint="eastAsia" w:ascii="仿宋_GB2312" w:hAnsi="仿宋" w:eastAsia="仿宋_GB2312"/>
          <w:sz w:val="28"/>
          <w:highlight w:val="none"/>
        </w:rPr>
        <w:t>履约</w:t>
      </w:r>
      <w:r>
        <w:rPr>
          <w:rFonts w:hint="eastAsia" w:ascii="仿宋_GB2312" w:hAnsi="宋体" w:eastAsia="仿宋_GB2312"/>
          <w:sz w:val="28"/>
          <w:highlight w:val="none"/>
        </w:rPr>
        <w:t>保证金的退还</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hint="eastAsia" w:ascii="仿宋_GB2312" w:hAnsi="宋体" w:eastAsia="仿宋_GB2312"/>
          <w:sz w:val="28"/>
          <w:highlight w:val="none"/>
        </w:rPr>
        <w:t>（1）项目结项后满足退还标准且资料齐全；</w:t>
      </w:r>
    </w:p>
    <w:p>
      <w:pPr>
        <w:keepNext w:val="0"/>
        <w:keepLines w:val="0"/>
        <w:pageBreakBefore w:val="0"/>
        <w:widowControl w:val="0"/>
        <w:kinsoku/>
        <w:wordWrap/>
        <w:overflowPunct/>
        <w:topLinePunct w:val="0"/>
        <w:autoSpaceDE/>
        <w:autoSpaceDN/>
        <w:bidi w:val="0"/>
        <w:adjustRightInd w:val="0"/>
        <w:snapToGrid w:val="0"/>
        <w:spacing w:line="360" w:lineRule="auto"/>
        <w:ind w:firstLine="570"/>
        <w:textAlignment w:val="auto"/>
        <w:rPr>
          <w:rFonts w:ascii="仿宋_GB2312" w:hAnsi="宋体" w:eastAsia="仿宋_GB2312"/>
          <w:sz w:val="28"/>
          <w:highlight w:val="none"/>
        </w:rPr>
      </w:pPr>
      <w:r>
        <w:rPr>
          <w:rFonts w:hint="eastAsia" w:ascii="仿宋_GB2312" w:hAnsi="宋体" w:eastAsia="仿宋_GB2312"/>
          <w:sz w:val="28"/>
          <w:highlight w:val="none"/>
        </w:rPr>
        <w:t>（2）</w:t>
      </w:r>
      <w:r>
        <w:rPr>
          <w:rFonts w:hint="eastAsia" w:ascii="仿宋_GB2312" w:hAnsi="仿宋" w:eastAsia="仿宋_GB2312"/>
          <w:sz w:val="28"/>
          <w:highlight w:val="none"/>
        </w:rPr>
        <w:t>履约</w:t>
      </w:r>
      <w:r>
        <w:rPr>
          <w:rFonts w:hint="eastAsia" w:ascii="仿宋_GB2312" w:hAnsi="宋体" w:eastAsia="仿宋_GB2312"/>
          <w:sz w:val="28"/>
          <w:highlight w:val="none"/>
        </w:rPr>
        <w:t>保证金不计息。</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（七）招标文件的解释及咨询</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ascii="仿宋_GB2312" w:hAnsi="宋体" w:eastAsia="仿宋_GB2312"/>
          <w:sz w:val="28"/>
        </w:rPr>
      </w:pPr>
      <w:r>
        <w:rPr>
          <w:rFonts w:hint="eastAsia" w:ascii="仿宋_GB2312" w:hAnsi="宋体" w:eastAsia="仿宋_GB2312"/>
          <w:sz w:val="28"/>
        </w:rPr>
        <w:t>本招标文件的解释权属招标人，对本次招标有任何询问，请与昆山农商银行本次招标联系人联系。</w:t>
      </w:r>
    </w:p>
    <w:p>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z w:val="28"/>
          <w:szCs w:val="28"/>
        </w:rPr>
        <w:t>二、招标文件说明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（一）是否限价招标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宋体" w:hAnsi="宋体"/>
          <w:sz w:val="28"/>
          <w:lang w:eastAsia="zh-CN"/>
        </w:rPr>
        <w:t>☑</w:t>
      </w:r>
      <w:r>
        <w:rPr>
          <w:rFonts w:ascii="仿宋_GB2312" w:hAnsi="宋体" w:eastAsia="仿宋_GB2312"/>
          <w:sz w:val="28"/>
        </w:rPr>
        <w:t xml:space="preserve"> 是        最高限价</w:t>
      </w:r>
      <w:r>
        <w:rPr>
          <w:rFonts w:ascii="仿宋_GB2312" w:hAnsi="宋体" w:eastAsia="仿宋_GB2312"/>
          <w:sz w:val="28"/>
          <w:u w:val="single"/>
        </w:rPr>
        <w:t xml:space="preserve">  </w:t>
      </w:r>
      <w:r>
        <w:rPr>
          <w:rFonts w:hint="eastAsia" w:ascii="仿宋_GB2312" w:hAnsi="宋体" w:eastAsia="仿宋_GB2312"/>
          <w:sz w:val="28"/>
          <w:u w:val="single"/>
          <w:lang w:val="en-US" w:eastAsia="zh-CN"/>
        </w:rPr>
        <w:t xml:space="preserve">189200 </w:t>
      </w:r>
      <w:r>
        <w:rPr>
          <w:rFonts w:ascii="仿宋_GB2312" w:hAnsi="宋体" w:eastAsia="仿宋_GB2312"/>
          <w:sz w:val="28"/>
          <w:u w:val="single"/>
        </w:rPr>
        <w:t xml:space="preserve"> </w:t>
      </w:r>
      <w:r>
        <w:rPr>
          <w:rFonts w:hint="eastAsia" w:ascii="仿宋_GB2312" w:hAnsi="宋体" w:eastAsia="仿宋_GB2312"/>
          <w:sz w:val="28"/>
        </w:rPr>
        <w:t>（元）</w:t>
      </w:r>
      <w:r>
        <w:rPr>
          <w:rFonts w:ascii="仿宋_GB2312" w:hAnsi="宋体" w:eastAsia="仿宋_GB2312"/>
          <w:sz w:val="28"/>
        </w:rPr>
        <w:t xml:space="preserve">          </w:t>
      </w:r>
      <w:r>
        <w:rPr>
          <w:rFonts w:hint="eastAsia" w:ascii="宋体" w:hAnsi="宋体"/>
          <w:sz w:val="28"/>
        </w:rPr>
        <w:t>□</w:t>
      </w:r>
      <w:r>
        <w:rPr>
          <w:rFonts w:ascii="宋体" w:hAnsi="宋体"/>
          <w:sz w:val="28"/>
        </w:rPr>
        <w:t xml:space="preserve"> </w:t>
      </w:r>
      <w:r>
        <w:rPr>
          <w:rFonts w:hint="eastAsia" w:ascii="宋体" w:hAnsi="宋体"/>
          <w:sz w:val="28"/>
        </w:rPr>
        <w:t>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（二）项目实施时间、地点和方式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实施时间：合同签订后实施，1个月内安装实施完成</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实施地点：昆山市卫健委信息中心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实施方式：现场实施</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（三）合同款的支付条件、时间和支付方式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lang w:eastAsia="zh-CN"/>
        </w:rPr>
        <w:t>（</w:t>
      </w:r>
      <w:r>
        <w:rPr>
          <w:rFonts w:hint="eastAsia" w:ascii="仿宋_GB2312" w:hAnsi="宋体" w:eastAsia="仿宋_GB2312"/>
          <w:sz w:val="28"/>
          <w:highlight w:val="none"/>
          <w:lang w:val="en-US" w:eastAsia="zh-CN"/>
        </w:rPr>
        <w:t>1）</w:t>
      </w:r>
      <w:r>
        <w:rPr>
          <w:rFonts w:hint="eastAsia" w:ascii="仿宋_GB2312" w:hAnsi="宋体" w:eastAsia="仿宋_GB2312"/>
          <w:sz w:val="28"/>
          <w:highlight w:val="none"/>
        </w:rPr>
        <w:t>首付款20%，合同签订后收到有效发票30日内付款；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（2）二阶段付款30%，产品安装完毕正常使用（使用单位昆山卫健委信息中心出具安装确认书），收到有效发票30日内付款；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（3）三阶段付款40%，产品正常运行3个月签署完验收报告，收到有效发票30日内付款；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（4）尾款10%，验收后满1年，收到有效发票30日内付款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lang w:val="en-US" w:eastAsia="zh-CN"/>
        </w:rPr>
      </w:pPr>
      <w:r>
        <w:rPr>
          <w:rFonts w:hint="eastAsia" w:ascii="仿宋_GB2312" w:hAnsi="宋体" w:eastAsia="仿宋_GB2312"/>
          <w:sz w:val="28"/>
          <w:highlight w:val="none"/>
          <w:lang w:eastAsia="zh-CN"/>
        </w:rPr>
        <w:t>（</w:t>
      </w:r>
      <w:r>
        <w:rPr>
          <w:rFonts w:hint="eastAsia" w:ascii="仿宋_GB2312" w:hAnsi="宋体" w:eastAsia="仿宋_GB2312"/>
          <w:sz w:val="28"/>
          <w:highlight w:val="none"/>
          <w:lang w:val="en-US" w:eastAsia="zh-CN"/>
        </w:rPr>
        <w:t>四）评标方法、评标标准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sz w:val="28"/>
          <w:highlight w:val="none"/>
        </w:rPr>
      </w:pPr>
      <w:r>
        <w:rPr>
          <w:rFonts w:hint="eastAsia" w:ascii="仿宋_GB2312" w:hAnsi="宋体" w:eastAsia="仿宋_GB2312"/>
          <w:sz w:val="28"/>
          <w:highlight w:val="none"/>
        </w:rPr>
        <w:t>最低价中标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（五）拟签订的合同文本</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详见第四部分附件</w:t>
      </w:r>
      <w:r>
        <w:rPr>
          <w:rFonts w:ascii="仿宋_GB2312" w:hAnsi="宋体" w:eastAsia="仿宋_GB2312"/>
          <w:sz w:val="28"/>
          <w:highlight w:val="none"/>
        </w:rPr>
        <w:t>5</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（六）其他说明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lang w:val="en-US" w:eastAsia="zh-CN"/>
        </w:rPr>
        <w:t>无</w:t>
      </w:r>
    </w:p>
    <w:p>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z w:val="28"/>
          <w:szCs w:val="28"/>
        </w:rPr>
        <w:t>三、投标文件说明</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（一）要求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1、投标人应仔细阅读招标文件的所有内容，按招标文件的要求提供投标文件，并保证所提供的全部资料的真实性，以使其投标对招标文件作出实质性响应，否则其投标可能被拒绝；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2、除非有特殊要求，招标文件不单独提供招标设备（系统）或服务使用地的自然环境、气候条件、公用设施等情况，投标人被视为熟悉上述情况。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（二）投标文件的组成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投标文件应包括但不限于下列所列文件：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1、法定代表人身份证明或法定代表人授权委托书（法定代表人参加投标，不用此委托书）。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2、投标书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必须按照本招标文件第四部分附件的格式要求制作，未经招标人书面同意，该格式不允许作任何修改。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3、投标价格一览表（须另装，详见“投标文件的签署及规定”）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应包括投标报价、维护承诺、其他重要补充事项等内容。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4、服务内容描述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投标人必须对“招标项目要求”逐个或分块地作出实质性响应，其响应应与招标文件内容采用相同的顺序，对每个需求的响应必须遵循如下规则：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1）重复该需求；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2）用“是/否”来表明该需求是否被满足；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3）简要描述如何满足该需求，如果该响应在投标文件其他部分有详述，可在该处简单应答，但必须给出确切的位置索引；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4）解释投标文件或投标方案与招标项目需求之间的偏差，用数量来表示的需求，必须用确切的数量单位来响应。</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5、项目实施计划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应根据对项目需求的理解，提出详细、切实可行的项目实施计划及方案。</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rPr>
      </w:pPr>
      <w:r>
        <w:rPr>
          <w:rFonts w:hint="eastAsia" w:ascii="仿宋_GB2312" w:hAnsi="宋体" w:eastAsia="仿宋_GB2312"/>
          <w:color w:val="auto"/>
          <w:sz w:val="28"/>
        </w:rPr>
        <w:t>6、售后服务计划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应说明售后服务的内容、形式、收费标准；维护单位名称、地点、人员；服务响应时间等，并应包含免费维护期及期外的售后服务计划。</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7、投标人情况简介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应包含投标人基本情况与背景资料、业务经营情况、最近三年类似相关项目实施情况、及投标人最新的财务报表、相关内控制度及连续性方案等。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8、投标人资格证明文件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1）投标人营业执照复印件；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2）若分公司参加投标的，需总公司的正式授权书（即签订合同只与有法人资格的公司签订）；</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3）生产厂商授权函</w:t>
      </w:r>
      <w:r>
        <w:rPr>
          <w:rFonts w:hint="eastAsia" w:ascii="仿宋_GB2312" w:hAnsi="宋体" w:eastAsia="仿宋_GB2312"/>
          <w:color w:val="auto"/>
          <w:sz w:val="28"/>
          <w:highlight w:val="none"/>
          <w:lang w:eastAsia="zh-CN"/>
        </w:rPr>
        <w:t>、</w:t>
      </w:r>
      <w:r>
        <w:rPr>
          <w:rFonts w:hint="eastAsia" w:ascii="仿宋_GB2312" w:hAnsi="宋体" w:eastAsia="仿宋_GB2312"/>
          <w:color w:val="auto"/>
          <w:sz w:val="28"/>
          <w:highlight w:val="none"/>
          <w:lang w:val="en-US" w:eastAsia="zh-CN"/>
        </w:rPr>
        <w:t>质保函、代理资质证明</w:t>
      </w:r>
      <w:r>
        <w:rPr>
          <w:rFonts w:hint="eastAsia" w:ascii="仿宋_GB2312" w:hAnsi="宋体" w:eastAsia="仿宋_GB2312"/>
          <w:color w:val="auto"/>
          <w:sz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4）其他相关资格证明文件。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9、供应商反腐败/反贿赂承诺书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olor w:val="auto"/>
          <w:sz w:val="28"/>
          <w:highlight w:val="none"/>
        </w:rPr>
      </w:pPr>
      <w:r>
        <w:rPr>
          <w:rFonts w:hint="eastAsia" w:ascii="仿宋_GB2312" w:hAnsi="宋体" w:eastAsia="仿宋_GB2312"/>
          <w:color w:val="auto"/>
          <w:sz w:val="28"/>
          <w:highlight w:val="none"/>
        </w:rPr>
        <w:t>必须按照本招标文件第四部分附件6的格式要求制作，未经招标人书面同意，该格式不允许作任何修改。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10、其他</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1）投标方实施其它银行此产品案例的合同复印件或加盖单位公章的产品定单；</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2）投标人自愿提供的其他全部文件；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3）优惠条款的说明等。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（三）投标文件的签署及规定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highlight w:val="none"/>
        </w:rPr>
        <w:t>1、投标人应准备一份正本、二份副本、一份电子档，正副本及电子档均不含报价单，另装一份密封投标报价单和一份投标保证金回执单（报价单与保证金回执分装）。</w:t>
      </w:r>
      <w:r>
        <w:rPr>
          <w:rFonts w:hint="eastAsia" w:ascii="仿宋_GB2312" w:hAnsi="宋体" w:eastAsia="仿宋_GB2312"/>
          <w:sz w:val="28"/>
        </w:rPr>
        <w:t>在每一份投标文件上要明确注明“正本”、“副本”、“电子档”、“报价单”、“保证金回执单”字样，若正本和副本有差异以正本为准；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 xml:space="preserve">2、投标文件正本、副本、报价单须统一用A4纸打印装订并由投标人法定代表人或授权代理人在正本封面上签章处签字并加盖公章、骑缝章；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3、投标文件须标注页码，封面后的第一页为标书的目录，整本标书须标注统一的页码，成功案例合同等复印件可以手工填上统一的页码；</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4、除投标人对错漏处作必要修改外，投标文件中不许有加行、涂抹或改写。如有修改错漏处，必须由投标人法定代表人或授权代理人签字并加盖公章。</w:t>
      </w:r>
    </w:p>
    <w:p>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z w:val="28"/>
          <w:szCs w:val="28"/>
        </w:rPr>
        <w:t>四、投标文件的递交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（一）投标文件的密封和递交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highlight w:val="none"/>
        </w:rPr>
        <w:t>1、投标人应将投标文件的正、副本、报价单和电子档、保证金回执单分别用非透明文件袋密封，在封签处加盖公章，并标明投标人名称、正本（或副本、报价单、电子档、回执单）招标编号、投标产</w:t>
      </w:r>
      <w:r>
        <w:rPr>
          <w:rFonts w:hint="eastAsia" w:ascii="仿宋_GB2312" w:hAnsi="宋体" w:eastAsia="仿宋_GB2312"/>
          <w:sz w:val="28"/>
        </w:rPr>
        <w:t>品名称；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2、每一密封袋上注明“于开标前不准启封”的字样；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3、投标价格表及其它各种承诺均须有法定代表人（或其委托的全权代表人）的签字、日期并加盖公章。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（二）投标文件的修改和撤回</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2、投标人对投标文件进行补充、修改的书面材料或撤回的通知应按本招标文件规定进行编写、密封、标注和递送，并注明“补充/修改投标文件”或“撤回投标”字样；</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3、投标截止时间以后不得对投标文件进行修改或补充。</w:t>
      </w:r>
    </w:p>
    <w:p>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z w:val="28"/>
          <w:szCs w:val="28"/>
        </w:rPr>
        <w:t>五、开标和评标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（一）开标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highlight w:val="none"/>
        </w:rPr>
      </w:pPr>
      <w:r>
        <w:rPr>
          <w:rFonts w:hint="eastAsia" w:ascii="仿宋_GB2312" w:hAnsi="宋体" w:eastAsia="仿宋_GB2312"/>
          <w:sz w:val="28"/>
          <w:highlight w:val="none"/>
        </w:rPr>
        <w:t>此次招标采用：本行评标专家组进行现场开标、评标。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（二）评标因素</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1、招标人根据具体招标项目分类对每一个投标条件进行比较。对其内容进行分析比较：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1）投标价格；</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2）投标方整体实力及成功案例总数；</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3）投标方技术方案、成功案例分析及产品特制设计；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4）投标方技术实力（研发人员、售后服务能力）；</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5）投标方的资信情况和履约能力；</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6）投标方提供的其他优惠条件。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（三）投标文件的审查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1、开标后，招标人将组织审查投标文件是否完整，是否有计算错误，文件是否恰当地签署；</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2、在对投标文件进行详细评估之前，招标人将依据投标人提供的资格证明文件审查投标人的财务、技术和生产能力。如果确定投标人无能力提供设备（系统）和技术支持，其投标将被拒绝；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3、招标人将确定每一投标是否对招标文件的要求作出了实质性的响应，而没有明显的偏离或保留；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4、招标人判断投标文件的响应性仅基于投标文件本身而不靠外部证据；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5、招标人将拒绝被确定为非实质性响应的投标，投标人不能通过修正或撤销不符之处而使其投标成为实质性响应的投标。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（四）投标文件的澄清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2、澄清应是书面的，并由法定代表人或其授权代理人签字；</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3、投标人的澄清文件是投标文件的组成部分，并取代投标文件中被澄清的部分；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4、投标文件的澄清不得对投标内容进行实质性修改。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（五）评标工作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1、招标人将按照公开、公平、公正的原则对待所有投标方；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 评标是招标工作的重要环节，评标工作在招标人内独立进行；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3、招标人不承诺报价最低者为中标者；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4、在投标、开标期间，投标人不得向招标人询问情况，不得进行旨在影响评标结果的活动，招标人保留对投标人进行疑问咨询的权力；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5、在投标、评标过程中，如有投标人联合故意抬高报价或其他不正当行为，招标人有权中止投标或评标；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6、江苏昆山农村商业银行股份有限公司保留对本次招标的最终解释权。</w:t>
      </w:r>
    </w:p>
    <w:p>
      <w:pPr>
        <w:pStyle w:val="3"/>
        <w:keepNext w:val="0"/>
        <w:keepLines w:val="0"/>
        <w:pageBreakBefore w:val="0"/>
        <w:widowControl w:val="0"/>
        <w:kinsoku/>
        <w:wordWrap/>
        <w:overflowPunct/>
        <w:topLinePunct w:val="0"/>
        <w:autoSpaceDE/>
        <w:autoSpaceDN/>
        <w:bidi w:val="0"/>
        <w:adjustRightInd w:val="0"/>
        <w:snapToGrid w:val="0"/>
        <w:spacing w:before="0" w:after="0" w:line="360" w:lineRule="auto"/>
        <w:ind w:firstLine="562" w:firstLineChars="200"/>
        <w:textAlignment w:val="auto"/>
        <w:rPr>
          <w:rFonts w:ascii="仿宋" w:hAnsi="仿宋" w:eastAsia="仿宋"/>
          <w:sz w:val="28"/>
          <w:szCs w:val="28"/>
        </w:rPr>
      </w:pPr>
      <w:r>
        <w:rPr>
          <w:rFonts w:hint="eastAsia" w:ascii="仿宋" w:hAnsi="仿宋" w:eastAsia="仿宋"/>
          <w:sz w:val="28"/>
          <w:szCs w:val="28"/>
        </w:rPr>
        <w:t>六、中标与签署合同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（一）定标原则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招标人不承诺向投标方披露招标过程中任何细节，包括中标或落标原因。</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（二）中标通知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1.定标后，招标人将发出中标通知；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2.对落标的投标人不再另行发出落标通知；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3.中标通知将作为招标人与中标人签订合同的依据之一。</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（三）签订合同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1、招标人将按照招标文件和投标人的投标文件与中标人签订书面合同，签订合同之前，双方需对合同的具体细节进行商谈。</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2、招标人对有关内容有权作出必要的细化和补充，但有关细化和补充不得背离招标文件和投标文件的实质性内容。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rPr>
        <w:t>3、招标文件、中标方的投标文件及其澄清文件等，均为签订合同的依据。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pPr>
      <w:r>
        <w:rPr>
          <w:rFonts w:hint="eastAsia" w:ascii="仿宋_GB2312" w:hAnsi="宋体" w:eastAsia="仿宋_GB2312"/>
          <w:sz w:val="28"/>
          <w:lang w:val="en-US" w:eastAsia="zh-CN"/>
        </w:rPr>
        <w:t>4</w:t>
      </w:r>
      <w:r>
        <w:rPr>
          <w:rFonts w:hint="eastAsia" w:ascii="仿宋_GB2312" w:hAnsi="宋体" w:eastAsia="仿宋_GB2312"/>
          <w:sz w:val="28"/>
        </w:rPr>
        <w:t>、投标人同意按招标人的要求签定相关合同，</w:t>
      </w:r>
      <w:r>
        <w:rPr>
          <w:rFonts w:hint="eastAsia" w:ascii="仿宋_GB2312" w:hAnsi="宋体" w:eastAsia="仿宋_GB2312" w:cs="仿宋_GB2312"/>
          <w:sz w:val="28"/>
          <w:szCs w:val="28"/>
        </w:rPr>
        <w:t>具体内容以实际签订的合同内容为准。</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sz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keepNext w:val="0"/>
        <w:keepLines w:val="0"/>
        <w:jc w:val="center"/>
        <w:rPr>
          <w:rFonts w:ascii="黑体" w:hAnsi="黑体" w:eastAsia="黑体"/>
          <w:sz w:val="32"/>
          <w:szCs w:val="32"/>
        </w:rPr>
      </w:pPr>
      <w:r>
        <w:rPr>
          <w:rFonts w:hint="eastAsia" w:ascii="黑体" w:hAnsi="黑体" w:eastAsia="黑体"/>
          <w:sz w:val="32"/>
          <w:szCs w:val="32"/>
        </w:rPr>
        <w:t>第四部分</w:t>
      </w:r>
      <w:r>
        <w:rPr>
          <w:rFonts w:hint="eastAsia" w:ascii="黑体" w:hAnsi="黑体" w:eastAsia="黑体"/>
          <w:sz w:val="32"/>
          <w:szCs w:val="32"/>
        </w:rPr>
        <w:tab/>
      </w:r>
      <w:r>
        <w:rPr>
          <w:rFonts w:hint="eastAsia" w:ascii="黑体" w:hAnsi="黑体" w:eastAsia="黑体"/>
          <w:sz w:val="32"/>
          <w:szCs w:val="32"/>
        </w:rPr>
        <w:t>投标文件格式</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附件1：《投标书》</w:t>
      </w:r>
    </w:p>
    <w:p>
      <w:pPr>
        <w:pStyle w:val="6"/>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标</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书</w:t>
      </w:r>
    </w:p>
    <w:p>
      <w:pPr>
        <w:pStyle w:val="6"/>
        <w:adjustRightInd w:val="0"/>
        <w:rPr>
          <w:rFonts w:ascii="仿宋_GB2312" w:hAnsi="宋体" w:eastAsia="仿宋_GB2312"/>
          <w:b/>
          <w:snapToGrid w:val="0"/>
          <w:color w:val="000000"/>
          <w:sz w:val="28"/>
          <w:szCs w:val="28"/>
        </w:rPr>
      </w:pPr>
    </w:p>
    <w:p>
      <w:pPr>
        <w:pStyle w:val="6"/>
        <w:adjustRightInd w:val="0"/>
        <w:rPr>
          <w:rFonts w:ascii="仿宋_GB2312" w:hAnsi="宋体" w:eastAsia="仿宋_GB2312"/>
          <w:sz w:val="28"/>
        </w:rPr>
      </w:pPr>
      <w:r>
        <w:rPr>
          <w:rFonts w:ascii="仿宋_GB2312" w:hAnsi="宋体" w:eastAsia="仿宋_GB2312"/>
          <w:sz w:val="28"/>
        </w:rPr>
        <w:t>致：江苏</w:t>
      </w:r>
      <w:r>
        <w:rPr>
          <w:rFonts w:hint="eastAsia" w:ascii="仿宋_GB2312" w:hAnsi="宋体" w:eastAsia="仿宋_GB2312"/>
          <w:sz w:val="28"/>
        </w:rPr>
        <w:t>昆山</w:t>
      </w:r>
      <w:r>
        <w:rPr>
          <w:rFonts w:ascii="仿宋_GB2312" w:hAnsi="宋体" w:eastAsia="仿宋_GB2312"/>
          <w:sz w:val="28"/>
        </w:rPr>
        <w:t>农村商业银行股份有限公司</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根据贵方       招标书，投标人              （投标人名称）提供相关文件并做出以下承诺：</w:t>
      </w:r>
    </w:p>
    <w:p>
      <w:pPr>
        <w:numPr>
          <w:ilvl w:val="0"/>
          <w:numId w:val="1"/>
        </w:num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招标文件规定的全部文件正本一份，副本二份，电子文档一份、报价单一份。</w:t>
      </w:r>
    </w:p>
    <w:p>
      <w:pPr>
        <w:autoSpaceDE w:val="0"/>
        <w:autoSpaceDN w:val="0"/>
        <w:adjustRightInd w:val="0"/>
        <w:ind w:firstLine="560" w:firstLineChars="200"/>
        <w:jc w:val="left"/>
        <w:rPr>
          <w:rFonts w:ascii="仿宋_GB2312" w:hAnsi="宋体" w:eastAsia="仿宋_GB2312"/>
          <w:sz w:val="28"/>
        </w:rPr>
      </w:pPr>
      <w:r>
        <w:rPr>
          <w:rFonts w:hint="eastAsia" w:ascii="仿宋_GB2312" w:hAnsi="宋体" w:eastAsia="仿宋_GB2312"/>
          <w:sz w:val="28"/>
        </w:rPr>
        <w:t>二、投标人同意如下：</w:t>
      </w:r>
    </w:p>
    <w:p>
      <w:pPr>
        <w:adjustRightInd w:val="0"/>
        <w:ind w:firstLine="700" w:firstLineChars="250"/>
        <w:rPr>
          <w:rFonts w:ascii="仿宋_GB2312" w:hAnsi="宋体" w:eastAsia="仿宋_GB2312"/>
          <w:sz w:val="28"/>
        </w:rPr>
      </w:pPr>
      <w:r>
        <w:rPr>
          <w:rFonts w:hint="eastAsia" w:ascii="仿宋_GB2312" w:hAnsi="宋体" w:eastAsia="仿宋_GB2312"/>
          <w:sz w:val="28"/>
        </w:rPr>
        <w:t>1．投标人完全接受招标文件中的内容，并将按招标文件的规定履行义务，按相关法律法规履行投标人的全部责任；</w:t>
      </w:r>
    </w:p>
    <w:p>
      <w:pPr>
        <w:adjustRightInd w:val="0"/>
        <w:ind w:firstLine="700" w:firstLineChars="250"/>
        <w:rPr>
          <w:rFonts w:ascii="仿宋_GB2312" w:hAnsi="宋体" w:eastAsia="仿宋_GB2312"/>
          <w:sz w:val="28"/>
        </w:rPr>
      </w:pPr>
      <w:r>
        <w:rPr>
          <w:rFonts w:hint="eastAsia" w:ascii="仿宋_GB2312" w:hAnsi="宋体" w:eastAsia="仿宋_GB2312"/>
          <w:sz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z w:val="28"/>
        </w:rPr>
      </w:pPr>
      <w:r>
        <w:rPr>
          <w:rFonts w:hint="eastAsia" w:ascii="仿宋_GB2312" w:hAnsi="宋体" w:eastAsia="仿宋_GB2312"/>
          <w:sz w:val="28"/>
        </w:rPr>
        <w:t>3.投标人同意招标人要求的相关数据或资料，完全理解招标人在招标文件中确定的评标原则和程序，理解贵方不一定要接受最低报价的投标。</w:t>
      </w:r>
    </w:p>
    <w:p>
      <w:pPr>
        <w:adjustRightInd w:val="0"/>
        <w:ind w:firstLine="700" w:firstLineChars="250"/>
        <w:rPr>
          <w:rFonts w:ascii="仿宋_GB2312" w:hAnsi="宋体" w:eastAsia="仿宋_GB2312"/>
          <w:sz w:val="28"/>
        </w:rPr>
      </w:pPr>
      <w:r>
        <w:rPr>
          <w:rFonts w:hint="eastAsia" w:ascii="仿宋_GB2312" w:hAnsi="宋体" w:eastAsia="仿宋_GB2312"/>
          <w:sz w:val="28"/>
        </w:rPr>
        <w:t>三、投标方保证投标文件中所有关于投标资格的文件，证明陈述均是真实的、准确的。若有违背，投标方愿意承担由此而产生的一切后果。</w:t>
      </w:r>
    </w:p>
    <w:p>
      <w:pPr>
        <w:adjustRightInd w:val="0"/>
        <w:ind w:firstLine="624"/>
        <w:rPr>
          <w:rFonts w:ascii="仿宋_GB2312" w:hAnsi="宋体" w:eastAsia="仿宋_GB2312"/>
          <w:sz w:val="28"/>
        </w:rPr>
      </w:pPr>
      <w:r>
        <w:rPr>
          <w:rFonts w:hint="eastAsia" w:ascii="仿宋_GB2312" w:hAnsi="宋体" w:eastAsia="仿宋_GB2312"/>
          <w:sz w:val="28"/>
        </w:rPr>
        <w:t>与本投标有关的一切正式信函请使用以下地址：</w:t>
      </w:r>
    </w:p>
    <w:p>
      <w:pPr>
        <w:pStyle w:val="6"/>
        <w:adjustRightInd w:val="0"/>
        <w:ind w:firstLine="624"/>
        <w:rPr>
          <w:rFonts w:ascii="仿宋_GB2312" w:hAnsi="宋体" w:eastAsia="仿宋_GB2312"/>
          <w:sz w:val="28"/>
        </w:rPr>
      </w:pPr>
      <w:r>
        <w:rPr>
          <w:rFonts w:ascii="仿宋_GB2312" w:hAnsi="宋体" w:eastAsia="仿宋_GB2312"/>
          <w:sz w:val="28"/>
        </w:rPr>
        <w:t xml:space="preserve">地址：                           </w:t>
      </w:r>
    </w:p>
    <w:p>
      <w:pPr>
        <w:pStyle w:val="6"/>
        <w:adjustRightInd w:val="0"/>
        <w:ind w:firstLine="624"/>
        <w:rPr>
          <w:rFonts w:ascii="仿宋_GB2312" w:hAnsi="宋体" w:eastAsia="仿宋_GB2312"/>
          <w:sz w:val="28"/>
        </w:rPr>
      </w:pPr>
      <w:r>
        <w:rPr>
          <w:rFonts w:ascii="仿宋_GB2312" w:hAnsi="宋体" w:eastAsia="仿宋_GB2312"/>
          <w:sz w:val="28"/>
        </w:rPr>
        <w:t xml:space="preserve">邮编：                           </w:t>
      </w:r>
    </w:p>
    <w:p>
      <w:pPr>
        <w:pStyle w:val="6"/>
        <w:adjustRightInd w:val="0"/>
        <w:ind w:firstLine="624"/>
        <w:rPr>
          <w:rFonts w:ascii="仿宋_GB2312" w:hAnsi="宋体" w:eastAsia="仿宋_GB2312"/>
          <w:sz w:val="28"/>
        </w:rPr>
      </w:pPr>
      <w:r>
        <w:rPr>
          <w:rFonts w:ascii="仿宋_GB2312" w:hAnsi="宋体" w:eastAsia="仿宋_GB2312"/>
          <w:sz w:val="28"/>
        </w:rPr>
        <w:t xml:space="preserve">电话：                           </w:t>
      </w:r>
    </w:p>
    <w:p>
      <w:pPr>
        <w:pStyle w:val="6"/>
        <w:adjustRightInd w:val="0"/>
        <w:ind w:firstLine="624"/>
        <w:rPr>
          <w:rFonts w:ascii="仿宋_GB2312" w:hAnsi="宋体" w:eastAsia="仿宋_GB2312"/>
          <w:sz w:val="28"/>
        </w:rPr>
      </w:pPr>
      <w:r>
        <w:rPr>
          <w:rFonts w:ascii="仿宋_GB2312" w:hAnsi="宋体" w:eastAsia="仿宋_GB2312"/>
          <w:sz w:val="28"/>
        </w:rPr>
        <w:t xml:space="preserve">传真：                           </w:t>
      </w:r>
    </w:p>
    <w:p>
      <w:pPr>
        <w:pStyle w:val="6"/>
        <w:adjustRightInd w:val="0"/>
        <w:ind w:firstLine="624"/>
        <w:rPr>
          <w:rFonts w:ascii="仿宋_GB2312" w:hAnsi="宋体" w:eastAsia="仿宋_GB2312"/>
          <w:sz w:val="28"/>
        </w:rPr>
      </w:pPr>
      <w:r>
        <w:rPr>
          <w:rFonts w:ascii="仿宋_GB2312" w:hAnsi="宋体" w:eastAsia="仿宋_GB2312"/>
          <w:sz w:val="28"/>
        </w:rPr>
        <w:t xml:space="preserve">投标人法定代表人姓名、职务（印刷体）：             </w:t>
      </w:r>
    </w:p>
    <w:p>
      <w:pPr>
        <w:pStyle w:val="6"/>
        <w:adjustRightInd w:val="0"/>
        <w:ind w:firstLine="624"/>
        <w:rPr>
          <w:rFonts w:ascii="仿宋_GB2312" w:hAnsi="宋体" w:eastAsia="仿宋_GB2312"/>
          <w:sz w:val="28"/>
        </w:rPr>
      </w:pPr>
      <w:r>
        <w:rPr>
          <w:rFonts w:ascii="仿宋_GB2312" w:hAnsi="宋体" w:eastAsia="仿宋_GB2312"/>
          <w:sz w:val="28"/>
        </w:rPr>
        <w:t xml:space="preserve">投标人名称：                       </w:t>
      </w:r>
    </w:p>
    <w:p>
      <w:pPr>
        <w:pStyle w:val="6"/>
        <w:adjustRightInd w:val="0"/>
        <w:ind w:firstLine="624"/>
        <w:rPr>
          <w:rFonts w:ascii="仿宋_GB2312" w:hAnsi="宋体" w:eastAsia="仿宋_GB2312"/>
          <w:sz w:val="28"/>
        </w:rPr>
      </w:pPr>
      <w:r>
        <w:rPr>
          <w:rFonts w:ascii="仿宋_GB2312" w:hAnsi="宋体" w:eastAsia="仿宋_GB2312"/>
          <w:sz w:val="28"/>
        </w:rPr>
        <w:t xml:space="preserve">单位公章：                       </w:t>
      </w:r>
    </w:p>
    <w:p>
      <w:pPr>
        <w:pStyle w:val="6"/>
        <w:adjustRightInd w:val="0"/>
        <w:ind w:firstLine="624"/>
        <w:rPr>
          <w:rFonts w:ascii="仿宋_GB2312" w:hAnsi="宋体" w:eastAsia="仿宋_GB2312"/>
          <w:sz w:val="28"/>
        </w:rPr>
      </w:pPr>
      <w:r>
        <w:rPr>
          <w:rFonts w:ascii="仿宋_GB2312" w:hAnsi="宋体" w:eastAsia="仿宋_GB2312"/>
          <w:sz w:val="28"/>
        </w:rPr>
        <w:t xml:space="preserve">法定代表人或授权代理人签字：                    </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日期：      年     月     日</w:t>
      </w:r>
    </w:p>
    <w:p>
      <w:pPr>
        <w:snapToGrid w:val="0"/>
        <w:spacing w:line="360" w:lineRule="auto"/>
        <w:outlineLvl w:val="1"/>
        <w:rPr>
          <w:rFonts w:ascii="仿宋_GB2312" w:hAnsi="宋体" w:eastAsia="仿宋_GB2312"/>
          <w:sz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附件2：《投标人情况简介》</w:t>
      </w:r>
    </w:p>
    <w:p>
      <w:pPr>
        <w:pStyle w:val="6"/>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投标人名称：</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地址：邮编：</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传真／电话：</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成立日期或注册日期：</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法定代表人或主要负责人姓名：</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6"/>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注册资本：</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年至今国内外主要用户的名称和地址： </w:t>
      </w:r>
    </w:p>
    <w:p>
      <w:pPr>
        <w:pStyle w:val="6"/>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本次投标或服务在国内金融行业的应用情况（如有的话）：</w:t>
      </w:r>
    </w:p>
    <w:p>
      <w:pPr>
        <w:pStyle w:val="6"/>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4.年至今投标人是否受到过监管机关的处罚？是否有重大涉诉法律纠纷？如有，请列明原因及相关情况。</w:t>
      </w:r>
    </w:p>
    <w:p>
      <w:pPr>
        <w:pStyle w:val="6"/>
        <w:tabs>
          <w:tab w:val="left" w:pos="360"/>
        </w:tabs>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5.所属集团（如有的话）：</w:t>
      </w:r>
    </w:p>
    <w:p>
      <w:pPr>
        <w:pStyle w:val="6"/>
        <w:tabs>
          <w:tab w:val="left" w:pos="360"/>
        </w:tabs>
        <w:adjustRightInd w:val="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6.其它情况</w:t>
      </w:r>
      <w:r>
        <w:rPr>
          <w:rFonts w:ascii="仿宋_GB2312" w:hAnsi="宋体" w:eastAsia="仿宋_GB2312"/>
          <w:snapToGrid w:val="0"/>
          <w:color w:val="000000"/>
          <w:sz w:val="28"/>
          <w:szCs w:val="28"/>
        </w:rPr>
        <w:t>（组织、机构、技术力量、参与本产品的实施人员情况等）</w:t>
      </w:r>
    </w:p>
    <w:p>
      <w:pPr>
        <w:snapToGrid w:val="0"/>
        <w:spacing w:line="360" w:lineRule="auto"/>
        <w:outlineLvl w:val="1"/>
        <w:rPr>
          <w:rFonts w:ascii="仿宋_GB2312" w:hAnsi="宋体" w:eastAsia="仿宋_GB2312"/>
          <w:color w:val="00000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附件3：《法定代表人委托书》</w:t>
      </w:r>
    </w:p>
    <w:p>
      <w:pPr>
        <w:tabs>
          <w:tab w:val="left" w:pos="8280"/>
        </w:tabs>
        <w:spacing w:line="360" w:lineRule="auto"/>
        <w:rPr>
          <w:rFonts w:ascii="仿宋_GB2312" w:eastAsia="仿宋_GB2312"/>
          <w:color w:val="000000"/>
          <w:sz w:val="28"/>
          <w:szCs w:val="28"/>
        </w:rPr>
      </w:pPr>
      <w:r>
        <w:rPr>
          <w:rFonts w:hint="eastAsia" w:ascii="仿宋_GB2312" w:hAnsi="宋体" w:eastAsia="仿宋_GB2312"/>
          <w:snapToGrid w:val="0"/>
          <w:color w:val="000000"/>
          <w:sz w:val="28"/>
        </w:rPr>
        <w:t>江苏昆山农村商业银行股份有限公司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参加贵单位组织的招标活动，全权代表我单位处理投标的有关事宜。</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ascii="仿宋_GB2312" w:eastAsia="仿宋_GB2312"/>
          <w:color w:val="000000"/>
          <w:sz w:val="28"/>
          <w:szCs w:val="28"/>
          <w:u w:val="single"/>
        </w:rPr>
      </w:pPr>
      <w:r>
        <w:rPr>
          <w:rFonts w:hint="eastAsia" w:ascii="仿宋_GB2312" w:eastAsia="仿宋_GB2312"/>
          <w:color w:val="000000"/>
          <w:sz w:val="28"/>
          <w:szCs w:val="28"/>
        </w:rPr>
        <w:t xml:space="preserve"> 姓名： 性别：年龄：职务：</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身份证号码：</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详细通讯地址： </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电话：传真：</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邮政编码：</w:t>
      </w:r>
    </w:p>
    <w:p>
      <w:pPr>
        <w:tabs>
          <w:tab w:val="left" w:pos="8280"/>
        </w:tabs>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ascii="仿宋_GB2312" w:hAnsi="宋体" w:eastAsia="仿宋_GB2312"/>
          <w:color w:val="000000"/>
          <w:sz w:val="28"/>
          <w:szCs w:val="28"/>
        </w:rPr>
      </w:pPr>
      <w:r>
        <w:rPr>
          <w:rFonts w:hint="eastAsia" w:ascii="仿宋_GB2312" w:eastAsia="仿宋_GB2312"/>
          <w:color w:val="000000"/>
          <w:sz w:val="28"/>
          <w:szCs w:val="28"/>
        </w:rPr>
        <w:t>（说明：法定代表人参加投标，不用此委托书）</w:t>
      </w:r>
    </w:p>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outlineLvl w:val="1"/>
        <w:rPr>
          <w:rFonts w:ascii="仿宋_GB2312" w:eastAsia="仿宋_GB2312"/>
          <w:b/>
          <w:sz w:val="30"/>
          <w:szCs w:val="30"/>
          <w:u w:val="single"/>
        </w:rPr>
      </w:pPr>
      <w:r>
        <w:rPr>
          <w:rFonts w:hint="eastAsia" w:ascii="仿宋_GB2312" w:hAnsi="宋体" w:eastAsia="仿宋_GB2312"/>
          <w:color w:val="000000"/>
          <w:sz w:val="28"/>
          <w:szCs w:val="28"/>
        </w:rPr>
        <w:t>附件4：《投标价格一览表》</w:t>
      </w:r>
      <w:r>
        <w:rPr>
          <w:rFonts w:hint="eastAsia" w:ascii="仿宋" w:hAnsi="仿宋" w:eastAsia="仿宋"/>
          <w:sz w:val="28"/>
          <w:szCs w:val="28"/>
        </w:rPr>
        <w:t xml:space="preserve"> </w:t>
      </w:r>
    </w:p>
    <w:p>
      <w:pPr>
        <w:jc w:val="center"/>
        <w:rPr>
          <w:rFonts w:ascii="仿宋_GB2312" w:hAnsi="仿宋" w:eastAsia="仿宋_GB2312"/>
          <w:b/>
          <w:sz w:val="32"/>
          <w:szCs w:val="28"/>
        </w:rPr>
      </w:pPr>
      <w:r>
        <w:rPr>
          <w:rFonts w:hint="eastAsia" w:ascii="仿宋_GB2312" w:hAnsi="仿宋" w:eastAsia="仿宋_GB2312"/>
          <w:b/>
          <w:sz w:val="32"/>
          <w:szCs w:val="28"/>
        </w:rPr>
        <w:t>投标价格一览表</w:t>
      </w:r>
    </w:p>
    <w:p>
      <w:pPr>
        <w:rPr>
          <w:rFonts w:ascii="仿宋_GB2312" w:hAnsi="宋体" w:eastAsia="仿宋_GB2312"/>
          <w:sz w:val="28"/>
          <w:szCs w:val="28"/>
          <w:u w:val="single"/>
        </w:rPr>
      </w:pPr>
      <w:r>
        <w:rPr>
          <w:rFonts w:hint="eastAsia" w:ascii="仿宋_GB2312" w:hAnsi="宋体" w:eastAsia="仿宋_GB2312"/>
          <w:sz w:val="28"/>
          <w:szCs w:val="28"/>
        </w:rPr>
        <w:t>1、投标单位名称：</w:t>
      </w:r>
      <w:r>
        <w:rPr>
          <w:rFonts w:hint="eastAsia" w:ascii="仿宋_GB2312" w:hAnsi="宋体"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sz w:val="28"/>
          <w:szCs w:val="28"/>
        </w:rPr>
        <w:t>2、投标项目名称：</w:t>
      </w:r>
      <w:r>
        <w:rPr>
          <w:rFonts w:hint="eastAsia" w:ascii="仿宋_GB2312" w:eastAsia="仿宋_GB2312"/>
          <w:sz w:val="28"/>
          <w:szCs w:val="28"/>
          <w:u w:val="single"/>
        </w:rPr>
        <w:t xml:space="preserve">                               </w:t>
      </w:r>
    </w:p>
    <w:p>
      <w:pPr>
        <w:adjustRightInd w:val="0"/>
        <w:spacing w:line="640" w:lineRule="exact"/>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rPr>
        <w:t>3、本项目报价</w:t>
      </w:r>
      <w:r>
        <w:rPr>
          <w:rFonts w:hint="eastAsia" w:ascii="仿宋_GB2312" w:hAnsi="宋体" w:eastAsia="仿宋_GB2312"/>
          <w:color w:val="auto"/>
          <w:sz w:val="28"/>
          <w:szCs w:val="28"/>
          <w:lang w:val="en-US" w:eastAsia="zh-CN"/>
        </w:rPr>
        <w:t>清单</w:t>
      </w:r>
    </w:p>
    <w:tbl>
      <w:tblPr>
        <w:tblStyle w:val="11"/>
        <w:tblpPr w:leftFromText="180" w:rightFromText="180" w:vertAnchor="text" w:horzAnchor="page" w:tblpX="1962" w:tblpY="132"/>
        <w:tblOverlap w:val="never"/>
        <w:tblW w:w="8690" w:type="dxa"/>
        <w:tblInd w:w="0" w:type="dxa"/>
        <w:tblLayout w:type="fixed"/>
        <w:tblCellMar>
          <w:top w:w="0" w:type="dxa"/>
          <w:left w:w="108" w:type="dxa"/>
          <w:bottom w:w="0" w:type="dxa"/>
          <w:right w:w="108" w:type="dxa"/>
        </w:tblCellMar>
      </w:tblPr>
      <w:tblGrid>
        <w:gridCol w:w="451"/>
        <w:gridCol w:w="1969"/>
        <w:gridCol w:w="1035"/>
        <w:gridCol w:w="997"/>
        <w:gridCol w:w="1458"/>
        <w:gridCol w:w="1460"/>
        <w:gridCol w:w="1320"/>
      </w:tblGrid>
      <w:tr>
        <w:tblPrEx>
          <w:tblCellMar>
            <w:top w:w="0" w:type="dxa"/>
            <w:left w:w="108" w:type="dxa"/>
            <w:bottom w:w="0" w:type="dxa"/>
            <w:right w:w="108" w:type="dxa"/>
          </w:tblCellMar>
        </w:tblPrEx>
        <w:trPr>
          <w:trHeight w:val="1277" w:hRule="atLeast"/>
        </w:trPr>
        <w:tc>
          <w:tcPr>
            <w:tcW w:w="4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仿宋_GB2312" w:hAnsi="仿宋_GB2312" w:eastAsia="仿宋_GB2312" w:cs="仿宋_GB2312"/>
                <w:color w:val="000000"/>
                <w:sz w:val="28"/>
                <w:szCs w:val="28"/>
              </w:rPr>
            </w:pPr>
            <w:r>
              <w:rPr>
                <w:rStyle w:val="29"/>
                <w:rFonts w:hint="default" w:hAnsi="仿宋_GB2312"/>
                <w:lang w:bidi="ar"/>
              </w:rPr>
              <w:t>序号</w:t>
            </w:r>
          </w:p>
        </w:tc>
        <w:tc>
          <w:tcPr>
            <w:tcW w:w="19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产品名称</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型号</w:t>
            </w:r>
          </w:p>
        </w:tc>
        <w:tc>
          <w:tcPr>
            <w:tcW w:w="99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仿宋_GB2312" w:hAnsi="仿宋_GB2312" w:eastAsia="仿宋_GB2312" w:cs="仿宋_GB2312"/>
                <w:color w:val="000000"/>
                <w:sz w:val="28"/>
                <w:szCs w:val="28"/>
                <w:lang w:val="en-US" w:eastAsia="zh-CN" w:bidi="ar"/>
              </w:rPr>
            </w:pPr>
            <w:r>
              <w:rPr>
                <w:rFonts w:hint="eastAsia" w:ascii="仿宋_GB2312" w:hAnsi="仿宋_GB2312" w:eastAsia="仿宋_GB2312" w:cs="仿宋_GB2312"/>
                <w:color w:val="000000"/>
                <w:sz w:val="28"/>
                <w:szCs w:val="28"/>
                <w:lang w:val="en-US" w:eastAsia="zh-CN"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单价（元）</w:t>
            </w:r>
          </w:p>
        </w:tc>
        <w:tc>
          <w:tcPr>
            <w:tcW w:w="14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Style w:val="29"/>
                <w:rFonts w:hint="default" w:hAnsi="仿宋_GB2312" w:eastAsia="仿宋_GB2312"/>
                <w:lang w:val="en-US" w:eastAsia="zh-CN" w:bidi="ar"/>
              </w:rPr>
            </w:pPr>
            <w:r>
              <w:rPr>
                <w:rStyle w:val="29"/>
                <w:rFonts w:hint="eastAsia" w:hAnsi="仿宋_GB2312" w:eastAsia="仿宋_GB2312"/>
                <w:lang w:val="en-US" w:eastAsia="zh-CN" w:bidi="ar"/>
              </w:rPr>
              <w:t>金额（元）</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仿宋_GB2312" w:hAnsi="仿宋_GB2312" w:eastAsia="仿宋_GB2312" w:cs="仿宋_GB2312"/>
                <w:color w:val="000000"/>
                <w:sz w:val="28"/>
                <w:szCs w:val="28"/>
              </w:rPr>
            </w:pPr>
            <w:r>
              <w:rPr>
                <w:rStyle w:val="29"/>
                <w:rFonts w:hint="default" w:hAnsi="仿宋_GB2312"/>
                <w:lang w:bidi="ar"/>
              </w:rPr>
              <w:t>备注</w:t>
            </w:r>
          </w:p>
        </w:tc>
      </w:tr>
      <w:tr>
        <w:tblPrEx>
          <w:tblCellMar>
            <w:top w:w="0" w:type="dxa"/>
            <w:left w:w="108" w:type="dxa"/>
            <w:bottom w:w="0" w:type="dxa"/>
            <w:right w:w="108" w:type="dxa"/>
          </w:tblCellMar>
        </w:tblPrEx>
        <w:trPr>
          <w:trHeight w:val="1019" w:hRule="atLeast"/>
        </w:trPr>
        <w:tc>
          <w:tcPr>
            <w:tcW w:w="4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1</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sz w:val="24"/>
                <w:szCs w:val="24"/>
                <w:lang w:bidi="ar"/>
              </w:rPr>
            </w:pPr>
            <w:r>
              <w:rPr>
                <w:rStyle w:val="29"/>
                <w:rFonts w:hint="default" w:hAnsi="仿宋_GB2312"/>
                <w:sz w:val="24"/>
                <w:szCs w:val="24"/>
                <w:lang w:bidi="ar"/>
              </w:rPr>
              <w:t xml:space="preserve">亚信安全信舷防毒墙系统V7.0 </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Style w:val="29"/>
                <w:rFonts w:hint="default" w:hAnsi="仿宋_GB2312"/>
                <w:sz w:val="24"/>
                <w:szCs w:val="24"/>
                <w:lang w:bidi="ar"/>
              </w:rPr>
            </w:pPr>
            <w:r>
              <w:rPr>
                <w:rStyle w:val="29"/>
                <w:rFonts w:hint="default" w:hAnsi="仿宋_GB2312"/>
                <w:sz w:val="24"/>
                <w:szCs w:val="24"/>
                <w:lang w:bidi="ar"/>
              </w:rPr>
              <w:t>AIS Edge E680</w:t>
            </w:r>
          </w:p>
        </w:tc>
        <w:tc>
          <w:tcPr>
            <w:tcW w:w="99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145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lang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lang w:bidi="ar"/>
              </w:rPr>
            </w:pPr>
          </w:p>
        </w:tc>
      </w:tr>
      <w:tr>
        <w:tblPrEx>
          <w:tblCellMar>
            <w:top w:w="0" w:type="dxa"/>
            <w:left w:w="108" w:type="dxa"/>
            <w:bottom w:w="0" w:type="dxa"/>
            <w:right w:w="108" w:type="dxa"/>
          </w:tblCellMar>
        </w:tblPrEx>
        <w:trPr>
          <w:trHeight w:val="1094" w:hRule="atLeast"/>
        </w:trPr>
        <w:tc>
          <w:tcPr>
            <w:tcW w:w="4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Fonts w:ascii="仿宋_GB2312" w:hAnsi="仿宋_GB2312" w:eastAsia="仿宋_GB2312" w:cs="仿宋_GB2312"/>
                <w:color w:val="000000"/>
                <w:sz w:val="24"/>
                <w:szCs w:val="24"/>
              </w:rPr>
            </w:pPr>
            <w:r>
              <w:rPr>
                <w:rStyle w:val="29"/>
                <w:rFonts w:hint="default" w:hAnsi="仿宋_GB2312"/>
                <w:sz w:val="24"/>
                <w:szCs w:val="24"/>
                <w:lang w:bidi="ar"/>
              </w:rPr>
              <w:t xml:space="preserve">亚信安全防毒墙网络版软件 V16.0 </w:t>
            </w: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Style w:val="29"/>
                <w:rFonts w:hint="default" w:hAnsi="仿宋_GB2312"/>
                <w:sz w:val="24"/>
                <w:szCs w:val="24"/>
                <w:lang w:bidi="ar"/>
              </w:rPr>
            </w:pPr>
            <w:r>
              <w:rPr>
                <w:rStyle w:val="29"/>
                <w:rFonts w:hint="default" w:hAnsi="仿宋_GB2312"/>
                <w:sz w:val="24"/>
                <w:szCs w:val="24"/>
                <w:lang w:bidi="ar"/>
              </w:rPr>
              <w:t>OSCE v16客户机版</w:t>
            </w:r>
          </w:p>
        </w:tc>
        <w:tc>
          <w:tcPr>
            <w:tcW w:w="99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1200</w:t>
            </w:r>
          </w:p>
        </w:tc>
        <w:tc>
          <w:tcPr>
            <w:tcW w:w="145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sz w:val="28"/>
                <w:szCs w:val="28"/>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lang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lang w:bidi="ar"/>
              </w:rPr>
            </w:pPr>
          </w:p>
        </w:tc>
      </w:tr>
      <w:tr>
        <w:tblPrEx>
          <w:tblCellMar>
            <w:top w:w="0" w:type="dxa"/>
            <w:left w:w="108" w:type="dxa"/>
            <w:bottom w:w="0" w:type="dxa"/>
            <w:right w:w="108" w:type="dxa"/>
          </w:tblCellMar>
        </w:tblPrEx>
        <w:trPr>
          <w:trHeight w:val="454" w:hRule="atLeast"/>
        </w:trPr>
        <w:tc>
          <w:tcPr>
            <w:tcW w:w="4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hint="eastAsia" w:ascii="仿宋_GB2312" w:hAnsi="仿宋_GB2312" w:eastAsia="仿宋_GB2312" w:cs="仿宋_GB2312"/>
                <w:color w:val="000000"/>
                <w:sz w:val="28"/>
                <w:szCs w:val="28"/>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sz w:val="24"/>
                <w:szCs w:val="24"/>
                <w:lang w:bidi="ar"/>
              </w:rPr>
            </w:pPr>
          </w:p>
        </w:tc>
        <w:tc>
          <w:tcPr>
            <w:tcW w:w="1035"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Style w:val="29"/>
                <w:rFonts w:hint="default" w:hAnsi="仿宋_GB2312"/>
                <w:sz w:val="24"/>
                <w:szCs w:val="24"/>
                <w:lang w:bidi="ar"/>
              </w:rPr>
            </w:pPr>
          </w:p>
        </w:tc>
        <w:tc>
          <w:tcPr>
            <w:tcW w:w="99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_GB2312" w:hAnsi="仿宋_GB2312" w:eastAsia="仿宋_GB2312" w:cs="仿宋_GB2312"/>
                <w:color w:val="000000"/>
                <w:sz w:val="28"/>
                <w:szCs w:val="28"/>
                <w:lang w:val="en-US" w:eastAsia="zh-CN"/>
              </w:rPr>
            </w:pPr>
          </w:p>
        </w:tc>
        <w:tc>
          <w:tcPr>
            <w:tcW w:w="145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合计</w:t>
            </w:r>
          </w:p>
        </w:tc>
        <w:tc>
          <w:tcPr>
            <w:tcW w:w="14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lang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textAlignment w:val="center"/>
              <w:rPr>
                <w:rStyle w:val="29"/>
                <w:rFonts w:hint="default" w:hAnsi="仿宋_GB2312"/>
                <w:lang w:bidi="ar"/>
              </w:rPr>
            </w:pPr>
          </w:p>
        </w:tc>
      </w:tr>
    </w:tbl>
    <w:p>
      <w:pPr>
        <w:numPr>
          <w:ilvl w:val="0"/>
          <w:numId w:val="2"/>
        </w:num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rPr>
        <w:t>付款方式：</w:t>
      </w:r>
    </w:p>
    <w:p>
      <w:pPr>
        <w:numPr>
          <w:ilvl w:val="0"/>
          <w:numId w:val="0"/>
        </w:num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rPr>
        <w:t>（1）首付款20%，合同签订后收到有效发票30日内付款；</w:t>
      </w:r>
    </w:p>
    <w:p>
      <w:pPr>
        <w:numPr>
          <w:ilvl w:val="0"/>
          <w:numId w:val="0"/>
        </w:num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rPr>
        <w:t>（2）二阶段付款30%，产品安装完毕正常使用（使用单位昆山卫健委信息中心出具安装确认书），收到有效发票30日内付款；</w:t>
      </w:r>
    </w:p>
    <w:p>
      <w:pPr>
        <w:numPr>
          <w:ilvl w:val="0"/>
          <w:numId w:val="0"/>
        </w:num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rPr>
        <w:t>（3）三阶段付款40%，产品正常运行3个月签署完验收报告，收到有效发票30日内付款；</w:t>
      </w:r>
    </w:p>
    <w:p>
      <w:pPr>
        <w:numPr>
          <w:ilvl w:val="0"/>
          <w:numId w:val="0"/>
        </w:numPr>
        <w:adjustRightInd w:val="0"/>
        <w:spacing w:line="640" w:lineRule="exact"/>
        <w:rPr>
          <w:rFonts w:hint="eastAsia" w:ascii="仿宋_GB2312" w:hAnsi="宋体" w:eastAsia="仿宋_GB2312"/>
          <w:sz w:val="28"/>
          <w:szCs w:val="28"/>
          <w:lang w:eastAsia="zh-CN"/>
        </w:rPr>
      </w:pPr>
      <w:r>
        <w:rPr>
          <w:rFonts w:hint="eastAsia" w:ascii="仿宋_GB2312" w:hAnsi="宋体" w:eastAsia="仿宋_GB2312"/>
          <w:sz w:val="28"/>
          <w:szCs w:val="28"/>
        </w:rPr>
        <w:t>（4）尾款10%，验收后满1年，收到有效发票30日内付款</w:t>
      </w:r>
      <w:r>
        <w:rPr>
          <w:rFonts w:hint="eastAsia" w:ascii="仿宋_GB2312" w:hAnsi="宋体" w:eastAsia="仿宋_GB2312"/>
          <w:sz w:val="28"/>
          <w:szCs w:val="28"/>
          <w:lang w:eastAsia="zh-CN"/>
        </w:rPr>
        <w:t>。</w:t>
      </w:r>
    </w:p>
    <w:p>
      <w:pPr>
        <w:numPr>
          <w:ilvl w:val="0"/>
          <w:numId w:val="2"/>
        </w:num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rPr>
        <w:t>其他优惠条件（如有请列明）</w:t>
      </w:r>
    </w:p>
    <w:p>
      <w:pPr>
        <w:numPr>
          <w:ilvl w:val="0"/>
          <w:numId w:val="0"/>
        </w:numPr>
        <w:adjustRightInd w:val="0"/>
        <w:spacing w:line="640" w:lineRule="exact"/>
        <w:rPr>
          <w:rFonts w:hint="eastAsia" w:ascii="仿宋_GB2312" w:hAnsi="宋体" w:eastAsia="仿宋_GB2312"/>
          <w:sz w:val="28"/>
          <w:szCs w:val="28"/>
          <w:lang w:eastAsia="zh-CN"/>
        </w:rPr>
      </w:pPr>
    </w:p>
    <w:p>
      <w:pPr>
        <w:adjustRightInd w:val="0"/>
        <w:spacing w:line="640" w:lineRule="exact"/>
        <w:rPr>
          <w:rFonts w:hint="eastAsia" w:ascii="仿宋_GB2312" w:eastAsia="仿宋_GB2312"/>
          <w:snapToGrid w:val="0"/>
          <w:sz w:val="28"/>
          <w:szCs w:val="28"/>
        </w:rPr>
      </w:pPr>
    </w:p>
    <w:p>
      <w:pPr>
        <w:adjustRightInd w:val="0"/>
        <w:spacing w:line="640" w:lineRule="exact"/>
        <w:rPr>
          <w:rFonts w:hint="eastAsia" w:ascii="仿宋_GB2312" w:eastAsia="仿宋_GB2312"/>
          <w:snapToGrid w:val="0"/>
          <w:sz w:val="28"/>
          <w:szCs w:val="28"/>
        </w:rPr>
      </w:pPr>
    </w:p>
    <w:p>
      <w:pPr>
        <w:adjustRightInd w:val="0"/>
        <w:spacing w:line="640" w:lineRule="exact"/>
        <w:rPr>
          <w:rFonts w:ascii="仿宋_GB2312" w:eastAsia="仿宋_GB2312"/>
          <w:snapToGrid w:val="0"/>
          <w:sz w:val="28"/>
          <w:szCs w:val="28"/>
        </w:rPr>
      </w:pPr>
    </w:p>
    <w:p>
      <w:pPr>
        <w:spacing w:line="360" w:lineRule="auto"/>
        <w:jc w:val="left"/>
        <w:rPr>
          <w:rFonts w:ascii="黑体" w:hAnsi="黑体" w:eastAsia="黑体"/>
          <w:b/>
          <w:sz w:val="24"/>
          <w:szCs w:val="24"/>
        </w:rPr>
      </w:pPr>
      <w:r>
        <w:rPr>
          <w:rFonts w:hint="eastAsia" w:ascii="黑体" w:hAnsi="黑体" w:eastAsia="黑体"/>
          <w:b/>
          <w:sz w:val="24"/>
          <w:szCs w:val="24"/>
        </w:rPr>
        <w:t>备注：</w:t>
      </w:r>
    </w:p>
    <w:p>
      <w:pPr>
        <w:pStyle w:val="23"/>
        <w:spacing w:line="360" w:lineRule="auto"/>
        <w:ind w:firstLine="482"/>
        <w:jc w:val="left"/>
        <w:rPr>
          <w:rFonts w:ascii="黑体" w:hAnsi="黑体" w:eastAsia="黑体"/>
          <w:b/>
        </w:rPr>
      </w:pPr>
      <w:r>
        <w:rPr>
          <w:rFonts w:hint="eastAsia" w:ascii="黑体" w:hAnsi="黑体" w:eastAsia="黑体"/>
          <w:b/>
        </w:rPr>
        <w:t>本次报价包含本项目所有费用及供应商为项目实施而支付的交通、食宿、通讯、税费等全部费用，昆山农商银行不再另外支付与本项目有关的其他费用。</w:t>
      </w:r>
    </w:p>
    <w:p>
      <w:pPr>
        <w:ind w:left="1526" w:hanging="1526"/>
        <w:rPr>
          <w:rFonts w:ascii="黑体" w:hAnsi="黑体" w:eastAsia="黑体"/>
          <w:b/>
          <w:sz w:val="24"/>
          <w:szCs w:val="24"/>
        </w:rPr>
      </w:pPr>
      <w:r>
        <w:rPr>
          <w:rFonts w:hint="eastAsia" w:ascii="黑体" w:hAnsi="黑体" w:eastAsia="黑体"/>
          <w:b/>
          <w:sz w:val="24"/>
          <w:szCs w:val="24"/>
        </w:rPr>
        <w:t>（本表内未明确列述的项目费用应视为包括在项目费用总额之内）</w:t>
      </w:r>
    </w:p>
    <w:p>
      <w:pPr>
        <w:ind w:left="1526" w:hanging="1526"/>
        <w:rPr>
          <w:rFonts w:ascii="黑体" w:hAnsi="黑体" w:eastAsia="黑体"/>
          <w:b/>
          <w:sz w:val="24"/>
          <w:szCs w:val="24"/>
        </w:rPr>
      </w:pPr>
    </w:p>
    <w:p>
      <w:pPr>
        <w:ind w:left="1526" w:hanging="1526"/>
        <w:rPr>
          <w:rFonts w:ascii="黑体" w:hAnsi="黑体" w:eastAsia="黑体"/>
          <w:b/>
          <w:sz w:val="24"/>
          <w:szCs w:val="24"/>
        </w:rPr>
      </w:pPr>
    </w:p>
    <w:p>
      <w:pPr>
        <w:ind w:left="1526" w:hanging="1526"/>
        <w:rPr>
          <w:rFonts w:ascii="黑体" w:hAnsi="黑体" w:eastAsia="黑体"/>
          <w:b/>
          <w:sz w:val="28"/>
          <w:szCs w:val="28"/>
        </w:rPr>
      </w:pPr>
    </w:p>
    <w:p>
      <w:pPr>
        <w:adjustRightInd w:val="0"/>
        <w:spacing w:line="500" w:lineRule="exact"/>
        <w:rPr>
          <w:rFonts w:ascii="仿宋_GB2312" w:eastAsia="仿宋_GB2312"/>
          <w:snapToGrid w:val="0"/>
          <w:sz w:val="28"/>
          <w:szCs w:val="28"/>
        </w:rPr>
      </w:pPr>
      <w:r>
        <w:rPr>
          <w:rFonts w:hint="eastAsia" w:ascii="仿宋_GB2312" w:eastAsia="仿宋_GB2312"/>
          <w:snapToGrid w:val="0"/>
          <w:sz w:val="28"/>
          <w:szCs w:val="28"/>
        </w:rPr>
        <w:t>公司盖章：</w:t>
      </w:r>
    </w:p>
    <w:p>
      <w:pPr>
        <w:autoSpaceDE w:val="0"/>
        <w:autoSpaceDN w:val="0"/>
        <w:rPr>
          <w:rFonts w:ascii="仿宋_GB2312" w:eastAsia="仿宋_GB2312"/>
          <w:sz w:val="28"/>
          <w:szCs w:val="28"/>
        </w:rPr>
      </w:pPr>
      <w:r>
        <w:rPr>
          <w:rFonts w:hint="eastAsia" w:ascii="仿宋_GB2312" w:eastAsia="仿宋_GB2312"/>
          <w:sz w:val="28"/>
          <w:szCs w:val="28"/>
        </w:rPr>
        <w:t xml:space="preserve">法定代表人或其授权的代表签字：                 </w:t>
      </w:r>
    </w:p>
    <w:p>
      <w:pPr>
        <w:ind w:left="1526" w:hanging="1526"/>
        <w:rPr>
          <w:rFonts w:ascii="仿宋_GB2312" w:eastAsia="仿宋_GB2312"/>
          <w:sz w:val="28"/>
          <w:szCs w:val="28"/>
        </w:rPr>
      </w:pPr>
      <w:r>
        <w:rPr>
          <w:rFonts w:hint="eastAsia" w:ascii="仿宋_GB2312" w:eastAsia="仿宋_GB2312"/>
          <w:sz w:val="28"/>
          <w:szCs w:val="28"/>
        </w:rPr>
        <w:t xml:space="preserve">日 期：    </w:t>
      </w:r>
    </w:p>
    <w:p>
      <w:pPr>
        <w:ind w:left="1526" w:hanging="1526"/>
        <w:rPr>
          <w:rFonts w:ascii="仿宋_GB2312" w:eastAsia="仿宋_GB2312"/>
          <w:sz w:val="28"/>
          <w:szCs w:val="28"/>
        </w:rPr>
      </w:pPr>
    </w:p>
    <w:p>
      <w:pPr>
        <w:widowControl/>
        <w:jc w:val="left"/>
      </w:pPr>
      <w:r>
        <w:br w:type="page"/>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附件5：拟签订的合同文本</w:t>
      </w:r>
    </w:p>
    <w:p>
      <w:pPr>
        <w:spacing w:line="360" w:lineRule="auto"/>
        <w:rPr>
          <w:color w:val="000000" w:themeColor="text1"/>
          <w14:textFill>
            <w14:solidFill>
              <w14:schemeClr w14:val="tx1"/>
            </w14:solidFill>
          </w14:textFill>
        </w:rPr>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right"/>
        <w:rPr>
          <w:rFonts w:ascii="Times New Roman" w:hAnsi="Times New Roman" w:eastAsia="Times New Roman" w:cs="Times New Roman"/>
          <w:sz w:val="22"/>
        </w:rPr>
      </w:pPr>
      <w:r>
        <w:rPr>
          <w:rFonts w:ascii="宋体" w:hAnsi="宋体" w:eastAsia="宋体" w:cs="宋体"/>
          <w:color w:val="000000"/>
          <w:sz w:val="24"/>
        </w:rPr>
        <w:t>合同编号：</w:t>
      </w:r>
      <w:r>
        <w:rPr>
          <w:rFonts w:ascii="Times New Roman" w:hAnsi="Times New Roman" w:eastAsia="Times New Roman" w:cs="Times New Roman"/>
          <w:color w:val="000000"/>
          <w:sz w:val="22"/>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rPr>
          <w:rFonts w:hint="default" w:eastAsia="黑体"/>
          <w:lang w:val="en-US" w:eastAsia="zh-CN"/>
        </w:rPr>
      </w:pPr>
      <w:r>
        <w:rPr>
          <w:rFonts w:ascii="黑体" w:hAnsi="黑体" w:eastAsia="黑体" w:cs="黑体"/>
          <w:color w:val="000000"/>
          <w:sz w:val="44"/>
        </w:rPr>
        <w:t>昆山农商银行卫健委区域银医安全解决方案</w:t>
      </w:r>
      <w:r>
        <w:rPr>
          <w:rFonts w:hint="eastAsia" w:ascii="黑体" w:hAnsi="黑体" w:eastAsia="黑体" w:cs="黑体"/>
          <w:color w:val="000000"/>
          <w:sz w:val="44"/>
          <w:lang w:val="en-US" w:eastAsia="zh-CN"/>
        </w:rPr>
        <w:t>2025</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pPr>
      <w:r>
        <w:rPr>
          <w:rFonts w:ascii="黑体" w:hAnsi="黑体" w:eastAsia="黑体" w:cs="黑体"/>
          <w:color w:val="000000"/>
          <w:sz w:val="44"/>
        </w:rPr>
        <w:t>采购合同</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pPr>
      <w:r>
        <w:rPr>
          <w:rFonts w:ascii="Times New Roman" w:hAnsi="Times New Roman" w:eastAsia="Times New Roman" w:cs="Times New Roman"/>
          <w:color w:val="000000"/>
          <w:sz w:val="44"/>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Times New Roman" w:hAnsi="Times New Roman" w:eastAsia="Times New Roman" w:cs="Times New Roman"/>
          <w:color w:val="000000"/>
          <w:sz w:val="22"/>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pPr>
      <w:r>
        <w:rPr>
          <w:rFonts w:ascii="宋体" w:hAnsi="宋体" w:eastAsia="宋体" w:cs="宋体"/>
          <w:color w:val="000000"/>
          <w:sz w:val="32"/>
        </w:rPr>
        <w:t>江苏昆山农村商业银行股份有限公司</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pPr>
      <w:r>
        <w:rPr>
          <w:rFonts w:hint="eastAsia" w:cs="Times New Roman"/>
          <w:color w:val="000000"/>
          <w:sz w:val="32"/>
          <w:lang w:val="en-US" w:eastAsia="zh-CN"/>
        </w:rPr>
        <w:t>————</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pPr>
      <w:r>
        <w:rPr>
          <w:rFonts w:ascii="宋体" w:hAnsi="宋体" w:eastAsia="宋体" w:cs="宋体"/>
          <w:color w:val="000000"/>
          <w:sz w:val="24"/>
        </w:rPr>
        <w:t>签订时间：202</w:t>
      </w:r>
      <w:r>
        <w:rPr>
          <w:rFonts w:hint="eastAsia" w:ascii="宋体" w:hAnsi="宋体" w:cs="宋体"/>
          <w:color w:val="000000"/>
          <w:sz w:val="24"/>
          <w:lang w:val="en-US" w:eastAsia="zh-CN"/>
        </w:rPr>
        <w:t>5</w:t>
      </w:r>
      <w:r>
        <w:rPr>
          <w:rFonts w:ascii="宋体" w:hAnsi="宋体" w:eastAsia="宋体" w:cs="宋体"/>
          <w:color w:val="000000"/>
          <w:sz w:val="24"/>
        </w:rPr>
        <w:t>年</w:t>
      </w:r>
      <w:r>
        <w:rPr>
          <w:rFonts w:hint="eastAsia" w:ascii="宋体" w:hAnsi="宋体" w:cs="宋体"/>
          <w:color w:val="000000"/>
          <w:sz w:val="24"/>
          <w:lang w:val="en-US" w:eastAsia="zh-CN"/>
        </w:rPr>
        <w:t xml:space="preserve"> </w:t>
      </w:r>
      <w:r>
        <w:rPr>
          <w:rFonts w:ascii="宋体" w:hAnsi="宋体" w:eastAsia="宋体" w:cs="宋体"/>
          <w:color w:val="000000"/>
          <w:sz w:val="24"/>
        </w:rPr>
        <w:t>月</w:t>
      </w:r>
      <w:r>
        <w:rPr>
          <w:rFonts w:hint="eastAsia" w:ascii="宋体" w:hAnsi="宋体" w:cs="宋体"/>
          <w:color w:val="000000"/>
          <w:sz w:val="24"/>
          <w:lang w:val="en-US" w:eastAsia="zh-CN"/>
        </w:rPr>
        <w:t xml:space="preserve"> </w:t>
      </w:r>
      <w:r>
        <w:rPr>
          <w:rFonts w:ascii="宋体" w:hAnsi="宋体" w:eastAsia="宋体" w:cs="宋体"/>
          <w:color w:val="000000"/>
          <w:sz w:val="24"/>
        </w:rPr>
        <w:t>日</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center"/>
      </w:pPr>
      <w:r>
        <w:rPr>
          <w:rFonts w:ascii="宋体" w:hAnsi="宋体" w:eastAsia="宋体" w:cs="宋体"/>
          <w:color w:val="000000"/>
          <w:sz w:val="24"/>
        </w:rPr>
        <w:t>签订地点：昆山</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b/>
          <w:color w:val="000000"/>
          <w:sz w:val="24"/>
        </w:rPr>
        <w:t xml:space="preserve">甲方：江苏昆山农村商业银行股份有限公司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xml:space="preserve">法定代表人：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xml:space="preserve">地址：江苏省昆山市前进东路828号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xml:space="preserve">联系人：         联系方式：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b/>
          <w:color w:val="000000"/>
          <w:sz w:val="24"/>
        </w:rPr>
        <w:t xml:space="preserve">乙方：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rPr>
          <w:rFonts w:ascii="Times New Roman" w:hAnsi="Times New Roman" w:eastAsia="Times New Roman" w:cs="Times New Roman"/>
        </w:rPr>
      </w:pPr>
      <w:r>
        <w:rPr>
          <w:rFonts w:ascii="宋体" w:hAnsi="宋体" w:eastAsia="宋体" w:cs="宋体"/>
          <w:color w:val="000000"/>
          <w:sz w:val="24"/>
        </w:rPr>
        <w:t xml:space="preserve">法定代表人：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rPr>
          <w:rFonts w:ascii="宋体" w:hAnsi="宋体" w:eastAsia="宋体" w:cs="宋体"/>
          <w:color w:val="000000"/>
          <w:sz w:val="24"/>
        </w:rPr>
      </w:pPr>
      <w:r>
        <w:rPr>
          <w:rFonts w:ascii="宋体" w:hAnsi="宋体" w:eastAsia="宋体" w:cs="宋体"/>
          <w:color w:val="000000"/>
          <w:sz w:val="24"/>
        </w:rPr>
        <w:t>地址：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xml:space="preserve">联系人         联系方式：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72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between w:val="none" w:color="000000" w:sz="0" w:space="0"/>
        </w:pBdr>
        <w:spacing w:before="0" w:after="0"/>
        <w:ind w:left="0" w:right="0" w:firstLine="390"/>
      </w:pPr>
      <w:r>
        <w:rPr>
          <w:rFonts w:ascii="宋体" w:hAnsi="宋体" w:eastAsia="宋体" w:cs="宋体"/>
          <w:color w:val="000000"/>
          <w:sz w:val="24"/>
        </w:rPr>
        <w:t>根据《中华人民共和国民法典》及其他有关法律法规之规定，甲乙双方本着平等、自愿、公平和诚信的原则，经友好协商，确认根据下列条款订立本合同，以资共同遵照执行。</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pPr>
      <w:r>
        <w:rPr>
          <w:rFonts w:ascii="宋体" w:hAnsi="宋体" w:eastAsia="宋体" w:cs="宋体"/>
          <w:b/>
          <w:color w:val="000000"/>
          <w:sz w:val="24"/>
        </w:rPr>
        <w:t>一、产品名称、描述、数量、金额：</w:t>
      </w:r>
    </w:p>
    <w:tbl>
      <w:tblPr>
        <w:tblStyle w:val="12"/>
        <w:tblW w:w="94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65"/>
        <w:gridCol w:w="1395"/>
        <w:gridCol w:w="3855"/>
        <w:gridCol w:w="960"/>
        <w:gridCol w:w="796"/>
        <w:gridCol w:w="13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 w:hRule="atLeast"/>
        </w:trPr>
        <w:tc>
          <w:tcPr>
            <w:tcW w:w="106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编号</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9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产品名称</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3855" w:type="dxa"/>
            <w:tcBorders>
              <w:tl2br w:val="nil"/>
              <w:tr2bl w:val="nil"/>
            </w:tcBorders>
            <w:noWrap w:val="0"/>
            <w:tcMar>
              <w:top w:w="0" w:type="dxa"/>
              <w:left w:w="0" w:type="dxa"/>
              <w:bottom w:w="0" w:type="dxa"/>
              <w:right w:w="0"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产品描述</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960"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数量</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796"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单价</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44"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总额</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06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1</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9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pPr>
            <w:r>
              <w:rPr>
                <w:rFonts w:hint="eastAsia" w:ascii="微软雅黑" w:hAnsi="微软雅黑" w:eastAsia="微软雅黑" w:cs="微软雅黑"/>
                <w:i w:val="0"/>
                <w:iCs w:val="0"/>
                <w:color w:val="000000"/>
                <w:kern w:val="0"/>
                <w:sz w:val="18"/>
                <w:szCs w:val="18"/>
                <w:u w:val="none"/>
                <w:lang w:val="en-US" w:eastAsia="zh-CN" w:bidi="ar"/>
              </w:rPr>
              <w:t xml:space="preserve">亚信安全信舷防毒墙系统V7.0 型号AIS Edge E680 </w:t>
            </w:r>
          </w:p>
        </w:tc>
        <w:tc>
          <w:tcPr>
            <w:tcW w:w="3855" w:type="dxa"/>
            <w:tcBorders>
              <w:tl2br w:val="nil"/>
              <w:tr2bl w:val="nil"/>
            </w:tcBorders>
            <w:noWrap w:val="0"/>
            <w:tcMar>
              <w:top w:w="0" w:type="dxa"/>
              <w:left w:w="0" w:type="dxa"/>
              <w:bottom w:w="0" w:type="dxa"/>
              <w:right w:w="0"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 xml:space="preserve">板载自带接口：2GE+4GE Bypass，网络层吞吐率：4Gbps，防病毒吞吐率：800Mbps，电源：300W*2，扩展插槽：*2，硬件外形：软硬一体化1U标准机架式设备；                            硬盘容量：1T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注：防病毒、勒索软件防护安全模块：防病毒功能用于检测并阻止恶意程序，如勒索软件、病毒、僵木蠕、间谍软件、网页木马。可拦截间谍软件的回拨企图，阻止间谍软件下载，阻止恶意程序通过即时通信程序进行扩散。</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IPS（含虚拟补丁）模块：主动式入侵防御系统提供了6,000+条漏洞探测及防护规则，防止恶意软件感染、漏洞利用和SQL注入, 命令注入, Webshell 攻击, XSS 攻击, CSRF 攻击。DDOS 防护, 阻止应用层攻击和非法获取权限。</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VPN安全模块：提供企业网络与远程移动用户、分支机构以及业务合作伙伴的连接。允许移动用户通过便携式计算机或移动设备从 Internet 连接企业网络，同时也提供与其他远程站点的连接保护，通过严格的安全策略管理所有组件之间的通信。</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rPr>
                <w:rFonts w:hint="default" w:eastAsia="微软雅黑"/>
                <w:lang w:val="en-US" w:eastAsia="zh-CN"/>
              </w:rPr>
            </w:pPr>
            <w:r>
              <w:rPr>
                <w:rFonts w:hint="eastAsia" w:ascii="微软雅黑" w:hAnsi="微软雅黑" w:eastAsia="微软雅黑" w:cs="微软雅黑"/>
                <w:i w:val="0"/>
                <w:iCs w:val="0"/>
                <w:color w:val="000000"/>
                <w:kern w:val="0"/>
                <w:sz w:val="18"/>
                <w:szCs w:val="18"/>
                <w:u w:val="none"/>
                <w:lang w:val="en-US" w:eastAsia="zh-CN" w:bidi="ar"/>
              </w:rPr>
              <w:t>质保3年</w:t>
            </w:r>
          </w:p>
        </w:tc>
        <w:tc>
          <w:tcPr>
            <w:tcW w:w="960"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rPr>
                <w:rFonts w:hint="eastAsia" w:eastAsia="宋体"/>
                <w:lang w:eastAsia="zh-CN"/>
              </w:rPr>
            </w:pPr>
            <w:r>
              <w:rPr>
                <w:rFonts w:hint="eastAsia" w:ascii="宋体" w:hAnsi="宋体" w:cs="宋体"/>
                <w:b/>
                <w:color w:val="000000"/>
                <w:sz w:val="24"/>
                <w:lang w:val="en-US" w:eastAsia="zh-CN"/>
              </w:rPr>
              <w:t>2</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796"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both"/>
            </w:pP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44"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06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2</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9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hint="eastAsia" w:ascii="微软雅黑" w:hAnsi="微软雅黑" w:eastAsia="微软雅黑" w:cs="微软雅黑"/>
                <w:i w:val="0"/>
                <w:iCs w:val="0"/>
                <w:color w:val="000000"/>
                <w:kern w:val="0"/>
                <w:sz w:val="18"/>
                <w:szCs w:val="18"/>
                <w:u w:val="none"/>
                <w:lang w:val="en-US" w:eastAsia="zh-CN" w:bidi="ar"/>
              </w:rPr>
              <w:t>亚信安全防毒墙网络版软件 V16.0 型号OSCE v16客户机版</w:t>
            </w:r>
            <w:r>
              <w:rPr>
                <w:rFonts w:ascii="微软雅黑" w:hAnsi="微软雅黑" w:eastAsia="微软雅黑" w:cs="微软雅黑"/>
                <w:color w:val="000000"/>
                <w:sz w:val="24"/>
              </w:rPr>
              <w:t xml:space="preserve"> </w:t>
            </w:r>
          </w:p>
        </w:tc>
        <w:tc>
          <w:tcPr>
            <w:tcW w:w="3855" w:type="dxa"/>
            <w:tcBorders>
              <w:tl2br w:val="nil"/>
              <w:tr2bl w:val="nil"/>
            </w:tcBorders>
            <w:noWrap w:val="0"/>
            <w:tcMar>
              <w:top w:w="0" w:type="dxa"/>
              <w:left w:w="0" w:type="dxa"/>
              <w:bottom w:w="0" w:type="dxa"/>
              <w:right w:w="0"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pPr>
            <w:r>
              <w:rPr>
                <w:rFonts w:hint="eastAsia" w:ascii="微软雅黑" w:hAnsi="微软雅黑" w:eastAsia="微软雅黑" w:cs="微软雅黑"/>
                <w:i w:val="0"/>
                <w:iCs w:val="0"/>
                <w:color w:val="000000"/>
                <w:kern w:val="0"/>
                <w:sz w:val="18"/>
                <w:szCs w:val="18"/>
                <w:u w:val="none"/>
                <w:lang w:val="en-US" w:eastAsia="zh-CN" w:bidi="ar"/>
              </w:rPr>
              <w:t>防病毒软件（客户机版）解决方案。抵御病毒、间谍软件、网络钓鱼和其它灰色软件的攻击。同时提供集中的管理、监控、更新和部署等功能，并具备主机防火墙、爆发阻止、Web站点信誉服务、预测机器学习、行为监控、勒索病毒防护等能力。</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质保3年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支持平台：Windows XP/7/8/8.1/10及相关信创系统</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960"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hint="eastAsia" w:ascii="宋体" w:hAnsi="宋体" w:cs="宋体"/>
                <w:b/>
                <w:color w:val="000000"/>
                <w:sz w:val="24"/>
                <w:lang w:val="en-US" w:eastAsia="zh-CN"/>
              </w:rPr>
              <w:t>1200</w:t>
            </w:r>
          </w:p>
        </w:tc>
        <w:tc>
          <w:tcPr>
            <w:tcW w:w="796"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both"/>
            </w:pP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44"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06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合计价格</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7006" w:type="dxa"/>
            <w:gridSpan w:val="4"/>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1344"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trPr>
        <w:tc>
          <w:tcPr>
            <w:tcW w:w="1065" w:type="dxa"/>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jc w:val="center"/>
            </w:pPr>
            <w:r>
              <w:rPr>
                <w:rFonts w:ascii="宋体" w:hAnsi="宋体" w:eastAsia="宋体" w:cs="宋体"/>
                <w:b/>
                <w:color w:val="000000"/>
                <w:sz w:val="24"/>
              </w:rPr>
              <w:t>备注</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c>
          <w:tcPr>
            <w:tcW w:w="8350" w:type="dxa"/>
            <w:gridSpan w:val="5"/>
            <w:tcBorders>
              <w:tl2br w:val="nil"/>
              <w:tr2bl w:val="nil"/>
            </w:tcBorders>
            <w:noWrap w:val="0"/>
            <w:tcMar>
              <w:top w:w="15" w:type="dxa"/>
              <w:left w:w="15" w:type="dxa"/>
              <w:bottom w:w="0" w:type="dxa"/>
              <w:right w:w="15"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240" w:lineRule="auto"/>
              <w:ind w:left="0" w:right="0" w:firstLine="0"/>
            </w:pPr>
            <w:r>
              <w:rPr>
                <w:rFonts w:ascii="宋体" w:hAnsi="宋体" w:eastAsia="宋体" w:cs="宋体"/>
                <w:b/>
                <w:color w:val="000000"/>
                <w:sz w:val="24"/>
              </w:rPr>
              <w:t>含税（13%增值税发票）</w:t>
            </w:r>
          </w:p>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微软雅黑" w:hAnsi="微软雅黑" w:eastAsia="微软雅黑" w:cs="微软雅黑"/>
                <w:color w:val="000000"/>
                <w:sz w:val="24"/>
              </w:rPr>
              <w:t xml:space="preserve"> </w:t>
            </w:r>
          </w:p>
        </w:tc>
      </w:tr>
    </w:tbl>
    <w:p>
      <w:pPr>
        <w:numPr>
          <w:ilvl w:val="0"/>
          <w:numId w:val="3"/>
        </w:numPr>
        <w:pBdr>
          <w:top w:val="none" w:color="000000" w:sz="0" w:space="0"/>
          <w:left w:val="none" w:color="000000" w:sz="0" w:space="0"/>
          <w:bottom w:val="none" w:color="000000" w:sz="0" w:space="0"/>
          <w:right w:val="none" w:color="000000" w:sz="0" w:space="0"/>
        </w:pBdr>
        <w:spacing w:before="0" w:after="0"/>
      </w:pPr>
    </w:p>
    <w:p>
      <w:pPr>
        <w:pBdr>
          <w:top w:val="none" w:color="000000" w:sz="0" w:space="0"/>
          <w:left w:val="none" w:color="000000" w:sz="0" w:space="0"/>
          <w:bottom w:val="none" w:color="000000" w:sz="0" w:space="0"/>
          <w:right w:val="none" w:color="000000" w:sz="0" w:space="0"/>
        </w:pBdr>
        <w:spacing w:before="0" w:after="0"/>
        <w:ind w:left="0" w:firstLine="0"/>
        <w:rPr>
          <w:rFonts w:ascii="Times New Roman" w:hAnsi="Times New Roman" w:eastAsia="Times New Roman" w:cs="Times New Roman"/>
        </w:rPr>
      </w:pPr>
      <w:r>
        <w:rPr>
          <w:rFonts w:ascii="宋体" w:hAnsi="宋体" w:eastAsia="宋体" w:cs="宋体"/>
          <w:b/>
          <w:color w:val="000000"/>
          <w:sz w:val="24"/>
        </w:rPr>
        <w:t>二、质量保证</w:t>
      </w:r>
    </w:p>
    <w:p>
      <w:pPr>
        <w:numPr>
          <w:ilvl w:val="0"/>
          <w:numId w:val="4"/>
        </w:numPr>
        <w:pBdr>
          <w:top w:val="none" w:color="000000" w:sz="0" w:space="0"/>
          <w:left w:val="none" w:color="000000" w:sz="0" w:space="0"/>
          <w:bottom w:val="none" w:color="000000" w:sz="0" w:space="0"/>
          <w:right w:val="none" w:color="000000" w:sz="0" w:space="0"/>
        </w:pBdr>
        <w:spacing w:before="0" w:after="0" w:line="276" w:lineRule="auto"/>
      </w:pPr>
      <w:r>
        <w:rPr>
          <w:rFonts w:ascii="宋体" w:hAnsi="宋体" w:eastAsia="宋体" w:cs="宋体"/>
          <w:color w:val="000000"/>
          <w:sz w:val="24"/>
        </w:rPr>
        <w:t>质量与技术标准：以符合货物说明书的相关说明为准。</w:t>
      </w:r>
    </w:p>
    <w:p>
      <w:pPr>
        <w:numPr>
          <w:ilvl w:val="0"/>
          <w:numId w:val="4"/>
        </w:numPr>
        <w:pBdr>
          <w:top w:val="none" w:color="000000" w:sz="0" w:space="0"/>
          <w:left w:val="none" w:color="000000" w:sz="0" w:space="0"/>
          <w:bottom w:val="none" w:color="000000" w:sz="0" w:space="0"/>
          <w:right w:val="none" w:color="000000" w:sz="0" w:space="0"/>
        </w:pBdr>
        <w:spacing w:before="0" w:after="0" w:line="276" w:lineRule="auto"/>
      </w:pPr>
      <w:r>
        <w:rPr>
          <w:rFonts w:ascii="宋体" w:hAnsi="宋体" w:eastAsia="宋体" w:cs="宋体"/>
          <w:color w:val="000000"/>
          <w:sz w:val="24"/>
        </w:rPr>
        <w:t>产品包装：原厂正版，符合原厂商包装和标准, 乙方保证所提供之产品是由原厂家按有关产品技术规格和质量标准生产的正规产品。提供三年内软件免费升级服务，如遇到有技术问题需乙家上门处理，响应时间在2个工作日以内。</w:t>
      </w:r>
    </w:p>
    <w:p>
      <w:pPr>
        <w:pBdr>
          <w:top w:val="none" w:color="000000" w:sz="0" w:space="0"/>
          <w:left w:val="none" w:color="000000" w:sz="0" w:space="0"/>
          <w:bottom w:val="none" w:color="000000" w:sz="0" w:space="0"/>
          <w:right w:val="none" w:color="000000" w:sz="0" w:space="0"/>
        </w:pBdr>
        <w:spacing w:before="0" w:after="0"/>
        <w:ind w:left="0" w:right="-170" w:firstLine="400"/>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firstLine="0"/>
      </w:pPr>
      <w:r>
        <w:rPr>
          <w:rFonts w:ascii="宋体" w:hAnsi="宋体" w:eastAsia="宋体" w:cs="宋体"/>
          <w:b/>
          <w:color w:val="000000"/>
          <w:sz w:val="24"/>
        </w:rPr>
        <w:t>三、交货方式</w:t>
      </w:r>
    </w:p>
    <w:p>
      <w:pPr>
        <w:numPr>
          <w:ilvl w:val="0"/>
          <w:numId w:val="5"/>
        </w:numPr>
        <w:pBdr>
          <w:top w:val="none" w:color="000000" w:sz="0" w:space="0"/>
          <w:left w:val="none" w:color="000000" w:sz="0" w:space="0"/>
          <w:bottom w:val="none" w:color="000000" w:sz="0" w:space="0"/>
          <w:right w:val="none" w:color="000000" w:sz="0" w:space="0"/>
        </w:pBdr>
        <w:spacing w:before="0" w:after="0" w:line="276" w:lineRule="auto"/>
      </w:pPr>
      <w:r>
        <w:rPr>
          <w:rFonts w:ascii="宋体" w:hAnsi="宋体" w:eastAsia="宋体" w:cs="宋体"/>
          <w:color w:val="000000"/>
          <w:sz w:val="24"/>
        </w:rPr>
        <w:t>交货时间：合同生效后30个工作日内。</w:t>
      </w:r>
    </w:p>
    <w:p>
      <w:pPr>
        <w:numPr>
          <w:ilvl w:val="0"/>
          <w:numId w:val="5"/>
        </w:numPr>
        <w:pBdr>
          <w:top w:val="none" w:color="000000" w:sz="0" w:space="0"/>
          <w:left w:val="none" w:color="000000" w:sz="0" w:space="0"/>
          <w:bottom w:val="none" w:color="000000" w:sz="0" w:space="0"/>
          <w:right w:val="none" w:color="000000" w:sz="0" w:space="0"/>
        </w:pBdr>
        <w:spacing w:before="0" w:after="0" w:line="276" w:lineRule="auto"/>
      </w:pPr>
      <w:r>
        <w:rPr>
          <w:rFonts w:ascii="宋体" w:hAnsi="宋体" w:eastAsia="宋体" w:cs="宋体"/>
          <w:color w:val="000000"/>
          <w:sz w:val="24"/>
        </w:rPr>
        <w:t>运输方式及费用：</w:t>
      </w:r>
      <w:r>
        <w:rPr>
          <w:rFonts w:ascii="宋体" w:hAnsi="宋体" w:eastAsia="宋体" w:cs="宋体"/>
          <w:color w:val="000000"/>
          <w:sz w:val="24"/>
          <w:u w:val="single"/>
        </w:rPr>
        <w:t>采用快递方式运输</w:t>
      </w:r>
      <w:r>
        <w:rPr>
          <w:rFonts w:ascii="宋体" w:hAnsi="宋体" w:eastAsia="宋体" w:cs="宋体"/>
          <w:color w:val="000000"/>
          <w:sz w:val="24"/>
        </w:rPr>
        <w:t>，由乙方承担运输费用。</w:t>
      </w:r>
    </w:p>
    <w:p>
      <w:pPr>
        <w:numPr>
          <w:ilvl w:val="0"/>
          <w:numId w:val="5"/>
        </w:numPr>
        <w:pBdr>
          <w:top w:val="none" w:color="000000" w:sz="0" w:space="0"/>
          <w:left w:val="none" w:color="000000" w:sz="0" w:space="0"/>
          <w:bottom w:val="none" w:color="000000" w:sz="0" w:space="0"/>
          <w:right w:val="none" w:color="000000" w:sz="0" w:space="0"/>
        </w:pBdr>
        <w:spacing w:before="0" w:after="0" w:line="276" w:lineRule="auto"/>
      </w:pPr>
      <w:r>
        <w:rPr>
          <w:rFonts w:ascii="宋体" w:hAnsi="宋体" w:eastAsia="宋体" w:cs="宋体"/>
          <w:color w:val="000000"/>
          <w:sz w:val="24"/>
        </w:rPr>
        <w:t>甲方指定收货人：</w:t>
      </w:r>
      <w:r>
        <w:rPr>
          <w:rFonts w:hint="eastAsia" w:ascii="宋体" w:hAnsi="宋体" w:cs="宋体"/>
          <w:color w:val="000000"/>
          <w:sz w:val="24"/>
          <w:u w:val="single"/>
          <w:lang w:val="en-US" w:eastAsia="zh-CN"/>
        </w:rPr>
        <w:t xml:space="preserve">       </w:t>
      </w:r>
      <w:r>
        <w:rPr>
          <w:rFonts w:ascii="宋体" w:hAnsi="宋体" w:eastAsia="宋体" w:cs="宋体"/>
          <w:color w:val="000000"/>
          <w:sz w:val="24"/>
        </w:rPr>
        <w:t>，联系电话：</w:t>
      </w:r>
      <w:r>
        <w:rPr>
          <w:rFonts w:ascii="宋体" w:hAnsi="宋体" w:eastAsia="宋体" w:cs="宋体"/>
          <w:color w:val="000000"/>
          <w:sz w:val="24"/>
          <w:u w:val="single"/>
        </w:rPr>
        <w:t xml:space="preserve">  </w:t>
      </w:r>
      <w:r>
        <w:rPr>
          <w:rFonts w:hint="eastAsia" w:ascii="宋体" w:hAnsi="宋体" w:cs="宋体"/>
          <w:color w:val="000000"/>
          <w:sz w:val="24"/>
          <w:u w:val="single"/>
          <w:lang w:val="en-US" w:eastAsia="zh-CN"/>
        </w:rPr>
        <w:t xml:space="preserve">     </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276" w:lineRule="auto"/>
        <w:ind w:left="786" w:right="-170" w:firstLine="120"/>
      </w:pPr>
      <w:r>
        <w:rPr>
          <w:rFonts w:ascii="宋体" w:hAnsi="宋体" w:eastAsia="宋体" w:cs="宋体"/>
          <w:color w:val="000000"/>
          <w:sz w:val="24"/>
        </w:rPr>
        <w:t>甲方收货地址：</w:t>
      </w:r>
      <w:r>
        <w:rPr>
          <w:rFonts w:ascii="宋体" w:hAnsi="宋体" w:eastAsia="宋体" w:cs="宋体"/>
          <w:color w:val="000000"/>
          <w:sz w:val="24"/>
          <w:u w:val="single"/>
        </w:rPr>
        <w:t>江苏省昆山市巴城镇通澄南路567号昆山市公共卫生中心北楼512办公室</w:t>
      </w:r>
    </w:p>
    <w:p>
      <w:pPr>
        <w:numPr>
          <w:ilvl w:val="0"/>
          <w:numId w:val="5"/>
        </w:numPr>
        <w:pBdr>
          <w:top w:val="none" w:color="000000" w:sz="0" w:space="0"/>
          <w:left w:val="none" w:color="000000" w:sz="0" w:space="0"/>
          <w:bottom w:val="none" w:color="000000" w:sz="0" w:space="0"/>
          <w:right w:val="none" w:color="000000" w:sz="0" w:space="0"/>
        </w:pBdr>
        <w:spacing w:before="0" w:after="0" w:line="276" w:lineRule="auto"/>
      </w:pPr>
      <w:r>
        <w:rPr>
          <w:rFonts w:ascii="宋体" w:hAnsi="宋体" w:eastAsia="宋体" w:cs="宋体"/>
          <w:color w:val="000000"/>
          <w:sz w:val="24"/>
        </w:rPr>
        <w:t>如果甲方因故需要变更交货地点，应于交货前3日书面通知乙方。乙方在交货日期未收到甲方书面变更通知的，有权按照本合同约定的收货人交货，由此造成的所有损失由甲方承担。</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between w:val="none" w:color="000000" w:sz="0" w:space="0"/>
        </w:pBdr>
        <w:tabs>
          <w:tab w:val="left" w:pos="945"/>
        </w:tabs>
        <w:spacing w:before="0" w:after="0"/>
        <w:ind w:left="0" w:right="0" w:firstLine="0"/>
        <w:jc w:val="both"/>
      </w:pPr>
      <w:r>
        <w:rPr>
          <w:rFonts w:ascii="宋体" w:hAnsi="宋体" w:eastAsia="宋体" w:cs="宋体"/>
          <w:b/>
          <w:color w:val="000000"/>
          <w:sz w:val="24"/>
        </w:rPr>
        <w:t>四、付款方式及期限</w:t>
      </w:r>
    </w:p>
    <w:p>
      <w:pPr>
        <w:spacing w:line="360" w:lineRule="auto"/>
        <w:ind w:firstLine="560" w:firstLineChars="200"/>
        <w:rPr>
          <w:rFonts w:hint="eastAsia"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（1）首付款20%，合同签订后收到有效发票30日内付款；</w:t>
      </w:r>
    </w:p>
    <w:p>
      <w:pPr>
        <w:spacing w:line="360" w:lineRule="auto"/>
        <w:ind w:firstLine="560" w:firstLineChars="200"/>
        <w:rPr>
          <w:rFonts w:hint="eastAsia"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（2）二阶段付款30%，产品安装完毕正常使用（使用单位昆山卫健委</w:t>
      </w:r>
      <w:r>
        <w:rPr>
          <w:rFonts w:hint="eastAsia" w:ascii="仿宋_GB2312" w:hAnsi="宋体" w:eastAsia="仿宋_GB2312"/>
          <w:color w:val="000000" w:themeColor="text1"/>
          <w:sz w:val="28"/>
          <w:lang w:val="en-US" w:eastAsia="zh-CN"/>
          <w14:textFill>
            <w14:solidFill>
              <w14:schemeClr w14:val="tx1"/>
            </w14:solidFill>
          </w14:textFill>
        </w:rPr>
        <w:t>信息中心</w:t>
      </w:r>
      <w:r>
        <w:rPr>
          <w:rFonts w:hint="eastAsia" w:ascii="仿宋_GB2312" w:hAnsi="宋体" w:eastAsia="仿宋_GB2312"/>
          <w:color w:val="000000" w:themeColor="text1"/>
          <w:sz w:val="28"/>
          <w14:textFill>
            <w14:solidFill>
              <w14:schemeClr w14:val="tx1"/>
            </w14:solidFill>
          </w14:textFill>
        </w:rPr>
        <w:t>出具安装确认书），收到有效发票30日内付款；</w:t>
      </w:r>
    </w:p>
    <w:p>
      <w:pPr>
        <w:spacing w:line="360" w:lineRule="auto"/>
        <w:ind w:firstLine="560" w:firstLineChars="200"/>
        <w:rPr>
          <w:rFonts w:hint="eastAsia"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（3）三阶段付款40%，产品正常运行3个月签署完验收报告，收到有效发票30日内付款；</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420"/>
        <w:jc w:val="both"/>
      </w:pPr>
      <w:r>
        <w:rPr>
          <w:rFonts w:hint="eastAsia" w:ascii="仿宋_GB2312" w:hAnsi="宋体" w:eastAsia="仿宋_GB2312"/>
          <w:color w:val="000000" w:themeColor="text1"/>
          <w:sz w:val="28"/>
          <w:lang w:eastAsia="zh-CN"/>
          <w14:textFill>
            <w14:solidFill>
              <w14:schemeClr w14:val="tx1"/>
            </w14:solidFill>
          </w14:textFill>
        </w:rPr>
        <w:t>（</w:t>
      </w:r>
      <w:r>
        <w:rPr>
          <w:rFonts w:hint="eastAsia" w:ascii="仿宋_GB2312" w:hAnsi="宋体" w:eastAsia="仿宋_GB2312"/>
          <w:color w:val="000000" w:themeColor="text1"/>
          <w:sz w:val="28"/>
          <w:lang w:val="en-US" w:eastAsia="zh-CN"/>
          <w14:textFill>
            <w14:solidFill>
              <w14:schemeClr w14:val="tx1"/>
            </w14:solidFill>
          </w14:textFill>
        </w:rPr>
        <w:t>4）</w:t>
      </w:r>
      <w:r>
        <w:rPr>
          <w:rFonts w:hint="eastAsia" w:ascii="仿宋_GB2312" w:hAnsi="宋体" w:eastAsia="仿宋_GB2312"/>
          <w:color w:val="000000" w:themeColor="text1"/>
          <w:sz w:val="28"/>
          <w14:textFill>
            <w14:solidFill>
              <w14:schemeClr w14:val="tx1"/>
            </w14:solidFill>
          </w14:textFill>
        </w:rPr>
        <w:t>尾款10%，验收后满1年，收到有效发票30日内付款</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between w:val="none" w:color="000000" w:sz="0" w:space="0"/>
        </w:pBdr>
        <w:spacing w:before="0" w:after="0"/>
        <w:ind w:left="0" w:right="0" w:firstLine="0"/>
        <w:jc w:val="both"/>
      </w:pPr>
      <w:r>
        <w:rPr>
          <w:rFonts w:ascii="宋体" w:hAnsi="宋体" w:eastAsia="宋体" w:cs="宋体"/>
          <w:b/>
          <w:color w:val="000000"/>
          <w:sz w:val="24"/>
        </w:rPr>
        <w:t>单位名称：</w:t>
      </w:r>
    </w:p>
    <w:p>
      <w:pPr>
        <w:pBdr>
          <w:top w:val="none" w:color="000000" w:sz="0" w:space="0"/>
          <w:left w:val="none" w:color="000000" w:sz="0" w:space="0"/>
          <w:bottom w:val="none" w:color="000000" w:sz="0" w:space="0"/>
          <w:right w:val="none" w:color="000000" w:sz="0" w:space="0"/>
          <w:between w:val="none" w:color="000000" w:sz="0" w:space="0"/>
        </w:pBdr>
        <w:spacing w:before="0" w:after="0"/>
        <w:ind w:left="0" w:right="0" w:firstLine="0"/>
        <w:jc w:val="both"/>
      </w:pPr>
      <w:r>
        <w:rPr>
          <w:rFonts w:ascii="宋体" w:hAnsi="宋体" w:eastAsia="宋体" w:cs="宋体"/>
          <w:b/>
          <w:color w:val="000000"/>
          <w:sz w:val="24"/>
        </w:rPr>
        <w:t>开户银行：</w:t>
      </w:r>
    </w:p>
    <w:p>
      <w:pPr>
        <w:pBdr>
          <w:top w:val="none" w:color="000000" w:sz="0" w:space="0"/>
          <w:left w:val="none" w:color="000000" w:sz="0" w:space="0"/>
          <w:bottom w:val="none" w:color="000000" w:sz="0" w:space="0"/>
          <w:right w:val="none" w:color="000000" w:sz="0" w:space="0"/>
          <w:between w:val="none" w:color="000000" w:sz="0" w:space="0"/>
        </w:pBdr>
        <w:spacing w:before="0" w:after="0"/>
        <w:ind w:left="0" w:right="0" w:firstLine="0"/>
        <w:jc w:val="both"/>
      </w:pPr>
      <w:r>
        <w:rPr>
          <w:rFonts w:ascii="宋体" w:hAnsi="宋体" w:eastAsia="宋体" w:cs="宋体"/>
          <w:b/>
          <w:color w:val="000000"/>
          <w:sz w:val="24"/>
        </w:rPr>
        <w:t>账号：</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tLeast"/>
        <w:ind w:left="0" w:right="-170" w:firstLine="0"/>
      </w:pPr>
      <w:r>
        <w:rPr>
          <w:rFonts w:ascii="宋体" w:hAnsi="宋体" w:eastAsia="宋体" w:cs="宋体"/>
          <w:b/>
          <w:color w:val="000000"/>
          <w:sz w:val="24"/>
        </w:rPr>
        <w:t>五、货物验收</w:t>
      </w:r>
    </w:p>
    <w:p>
      <w:pPr>
        <w:numPr>
          <w:ilvl w:val="0"/>
          <w:numId w:val="6"/>
        </w:numPr>
        <w:pBdr>
          <w:top w:val="none" w:color="000000" w:sz="0" w:space="0"/>
          <w:left w:val="none" w:color="000000" w:sz="0" w:space="0"/>
          <w:bottom w:val="none" w:color="000000" w:sz="0" w:space="0"/>
          <w:right w:val="none" w:color="000000" w:sz="0" w:space="0"/>
        </w:pBdr>
        <w:spacing w:before="0" w:after="0" w:line="276" w:lineRule="atLeast"/>
      </w:pPr>
      <w:r>
        <w:rPr>
          <w:rFonts w:ascii="宋体" w:hAnsi="宋体" w:eastAsia="宋体" w:cs="宋体"/>
          <w:color w:val="000000"/>
          <w:sz w:val="24"/>
        </w:rPr>
        <w:t>甲方必须当面拆封快递，货物外包装损坏时，以及软件包装密封条损坏时，甲方应拒绝收货。</w:t>
      </w:r>
    </w:p>
    <w:p>
      <w:pPr>
        <w:numPr>
          <w:ilvl w:val="0"/>
          <w:numId w:val="6"/>
        </w:numPr>
        <w:pBdr>
          <w:top w:val="none" w:color="000000" w:sz="0" w:space="0"/>
          <w:left w:val="none" w:color="000000" w:sz="0" w:space="0"/>
          <w:bottom w:val="none" w:color="000000" w:sz="0" w:space="0"/>
          <w:right w:val="none" w:color="000000" w:sz="0" w:space="0"/>
        </w:pBdr>
        <w:spacing w:before="0" w:after="0" w:line="276" w:lineRule="atLeast"/>
      </w:pPr>
      <w:r>
        <w:rPr>
          <w:rFonts w:ascii="宋体" w:hAnsi="宋体" w:eastAsia="宋体" w:cs="宋体"/>
          <w:color w:val="000000"/>
          <w:sz w:val="24"/>
        </w:rPr>
        <w:t>甲方对货物数量和外包装有异议，须在货物签收时以书面形式通知乙方商务部门。</w:t>
      </w:r>
    </w:p>
    <w:p>
      <w:pPr>
        <w:numPr>
          <w:ilvl w:val="0"/>
          <w:numId w:val="6"/>
        </w:numPr>
        <w:pBdr>
          <w:top w:val="none" w:color="000000" w:sz="0" w:space="0"/>
          <w:left w:val="none" w:color="000000" w:sz="0" w:space="0"/>
          <w:bottom w:val="none" w:color="000000" w:sz="0" w:space="0"/>
          <w:right w:val="none" w:color="000000" w:sz="0" w:space="0"/>
        </w:pBdr>
        <w:spacing w:before="0" w:after="0" w:line="276" w:lineRule="atLeast"/>
      </w:pPr>
      <w:r>
        <w:rPr>
          <w:rFonts w:ascii="宋体" w:hAnsi="宋体" w:eastAsia="宋体" w:cs="宋体"/>
          <w:color w:val="000000"/>
          <w:sz w:val="24"/>
        </w:rPr>
        <w:t>货物从签收之日起，五个工作日内甲方没有向乙方提出异议，则视为此单货物验收合格，此单交易完成。</w:t>
      </w:r>
    </w:p>
    <w:p>
      <w:pPr>
        <w:numPr>
          <w:ilvl w:val="0"/>
          <w:numId w:val="6"/>
        </w:numPr>
        <w:pBdr>
          <w:top w:val="none" w:color="000000" w:sz="0" w:space="0"/>
          <w:left w:val="none" w:color="000000" w:sz="0" w:space="0"/>
          <w:bottom w:val="none" w:color="000000" w:sz="0" w:space="0"/>
          <w:right w:val="none" w:color="000000" w:sz="0" w:space="0"/>
        </w:pBdr>
        <w:spacing w:before="0" w:after="0" w:line="276" w:lineRule="atLeast"/>
      </w:pPr>
      <w:r>
        <w:rPr>
          <w:rFonts w:ascii="宋体" w:hAnsi="宋体" w:eastAsia="宋体" w:cs="宋体"/>
          <w:color w:val="000000"/>
          <w:sz w:val="24"/>
        </w:rPr>
        <w:t>本合同如涉及授权许可，最终用户信息是由甲方提供的，如甲方提供的相关信息有误或有遗漏，由此产生的责任由甲方承担，最终授权用户的详细信息为：</w:t>
      </w:r>
    </w:p>
    <w:p>
      <w:pPr>
        <w:pBdr>
          <w:top w:val="none" w:color="000000" w:sz="0" w:space="0"/>
          <w:left w:val="none" w:color="000000" w:sz="0" w:space="0"/>
          <w:bottom w:val="none" w:color="000000" w:sz="0" w:space="0"/>
          <w:right w:val="none" w:color="000000" w:sz="0" w:space="0"/>
        </w:pBdr>
        <w:spacing w:before="0" w:after="0" w:line="276" w:lineRule="atLeast"/>
        <w:ind w:left="786" w:right="-170" w:firstLine="0"/>
      </w:pPr>
      <w:r>
        <w:rPr>
          <w:rFonts w:ascii="宋体" w:hAnsi="宋体" w:eastAsia="宋体" w:cs="宋体"/>
          <w:color w:val="000000"/>
          <w:sz w:val="24"/>
        </w:rPr>
        <w:t>最终用户名称：</w:t>
      </w:r>
      <w:r>
        <w:rPr>
          <w:rFonts w:ascii="宋体" w:hAnsi="宋体" w:eastAsia="宋体" w:cs="宋体"/>
          <w:color w:val="000000"/>
          <w:sz w:val="24"/>
          <w:u w:val="single"/>
        </w:rPr>
        <w:t>昆山市卫生计生信息中心</w:t>
      </w:r>
      <w:r>
        <w:rPr>
          <w:rFonts w:ascii="宋体" w:hAnsi="宋体" w:eastAsia="宋体" w:cs="宋体"/>
          <w:color w:val="000000"/>
          <w:sz w:val="24"/>
        </w:rPr>
        <w:t>；联系人：</w:t>
      </w:r>
      <w:r>
        <w:rPr>
          <w:rFonts w:hint="eastAsia" w:ascii="宋体" w:hAnsi="宋体" w:cs="宋体"/>
          <w:color w:val="000000"/>
          <w:sz w:val="24"/>
          <w:u w:val="single"/>
          <w:lang w:val="en-US" w:eastAsia="zh-CN"/>
        </w:rPr>
        <w:t xml:space="preserve">      </w:t>
      </w:r>
      <w:r>
        <w:rPr>
          <w:rFonts w:ascii="宋体" w:hAnsi="宋体" w:eastAsia="宋体" w:cs="宋体"/>
          <w:color w:val="000000"/>
          <w:sz w:val="24"/>
        </w:rPr>
        <w:t>；电话：</w:t>
      </w:r>
      <w:r>
        <w:rPr>
          <w:rFonts w:hint="eastAsia" w:ascii="宋体" w:hAnsi="宋体" w:cs="宋体"/>
          <w:color w:val="000000"/>
          <w:sz w:val="24"/>
          <w:u w:val="single"/>
          <w:lang w:val="en-US" w:eastAsia="zh-CN"/>
        </w:rPr>
        <w:t xml:space="preserve">       </w:t>
      </w:r>
      <w:r>
        <w:rPr>
          <w:rFonts w:ascii="宋体" w:hAnsi="宋体" w:eastAsia="宋体" w:cs="宋体"/>
          <w:color w:val="000000"/>
          <w:sz w:val="24"/>
        </w:rPr>
        <w:t>；地址：</w:t>
      </w:r>
      <w:r>
        <w:rPr>
          <w:rFonts w:ascii="宋体" w:hAnsi="宋体" w:eastAsia="宋体" w:cs="宋体"/>
          <w:color w:val="000000"/>
          <w:sz w:val="24"/>
          <w:u w:val="single"/>
        </w:rPr>
        <w:t>江苏省昆山市巴城镇通澄南路567号昆山市公共卫生中心北楼512办公室</w:t>
      </w:r>
      <w:r>
        <w:rPr>
          <w:rFonts w:ascii="宋体" w:hAnsi="宋体" w:eastAsia="宋体" w:cs="宋体"/>
          <w:color w:val="000000"/>
          <w:sz w:val="24"/>
        </w:rPr>
        <w:t>；邮编：</w:t>
      </w:r>
      <w:r>
        <w:rPr>
          <w:rFonts w:ascii="宋体" w:hAnsi="宋体" w:eastAsia="宋体" w:cs="宋体"/>
          <w:color w:val="000000"/>
          <w:sz w:val="24"/>
          <w:u w:val="single"/>
        </w:rPr>
        <w:t>215300</w:t>
      </w:r>
    </w:p>
    <w:p>
      <w:pPr>
        <w:pBdr>
          <w:top w:val="none" w:color="000000" w:sz="0" w:space="0"/>
          <w:left w:val="none" w:color="000000" w:sz="0" w:space="0"/>
          <w:bottom w:val="none" w:color="000000" w:sz="0" w:space="0"/>
          <w:right w:val="none" w:color="000000" w:sz="0" w:space="0"/>
        </w:pBdr>
        <w:spacing w:before="0" w:after="0" w:line="360" w:lineRule="atLeast"/>
        <w:ind w:left="0" w:right="-170" w:firstLine="0"/>
      </w:pPr>
      <w:r>
        <w:rPr>
          <w:rFonts w:ascii="宋体" w:hAnsi="宋体" w:eastAsia="宋体" w:cs="宋体"/>
          <w:b/>
          <w:color w:val="000000"/>
          <w:sz w:val="24"/>
        </w:rPr>
        <w:t>六、货物所有权和保管风险</w:t>
      </w:r>
    </w:p>
    <w:p>
      <w:pPr>
        <w:pBdr>
          <w:top w:val="none" w:color="000000" w:sz="0" w:space="0"/>
          <w:left w:val="none" w:color="000000" w:sz="0" w:space="0"/>
          <w:bottom w:val="none" w:color="000000" w:sz="0" w:space="0"/>
          <w:right w:val="none" w:color="000000" w:sz="0" w:space="0"/>
        </w:pBdr>
        <w:spacing w:before="0" w:after="0" w:line="276" w:lineRule="atLeast"/>
        <w:ind w:left="879" w:right="-170" w:hanging="476"/>
      </w:pPr>
      <w:r>
        <w:rPr>
          <w:rFonts w:ascii="宋体" w:hAnsi="宋体" w:eastAsia="宋体" w:cs="宋体"/>
          <w:color w:val="000000"/>
          <w:sz w:val="24"/>
        </w:rPr>
        <w:t>1．货物交货前全部风险由乙方承担；货物验收后的全部风险由甲方承担。货物在运达甲方指定地点，但是未验收或未验收通过的，甲方负有保管义务，其间的风险由甲方承担。</w:t>
      </w:r>
    </w:p>
    <w:p>
      <w:pPr>
        <w:pBdr>
          <w:top w:val="none" w:color="000000" w:sz="0" w:space="0"/>
          <w:left w:val="none" w:color="000000" w:sz="0" w:space="0"/>
          <w:bottom w:val="none" w:color="000000" w:sz="0" w:space="0"/>
          <w:right w:val="none" w:color="000000" w:sz="0" w:space="0"/>
        </w:pBdr>
        <w:spacing w:before="0" w:after="0" w:line="276" w:lineRule="atLeast"/>
        <w:ind w:left="879" w:right="-170" w:hanging="476"/>
      </w:pPr>
      <w:r>
        <w:rPr>
          <w:rFonts w:ascii="宋体" w:hAnsi="宋体" w:eastAsia="宋体" w:cs="宋体"/>
          <w:color w:val="000000"/>
          <w:sz w:val="24"/>
        </w:rPr>
        <w:t>2．甲方未按照合同约定付清全部货款前，本合同附件所列货物无论在任何地点，所有权均归乙方所有。乙方有权在甲方不能继续履行本合同的情况下，以任何方式收回乙方交付甲方的未付款货物。</w:t>
      </w:r>
    </w:p>
    <w:p>
      <w:pPr>
        <w:pBdr>
          <w:top w:val="none" w:color="000000" w:sz="0" w:space="0"/>
          <w:left w:val="none" w:color="000000" w:sz="0" w:space="0"/>
          <w:bottom w:val="none" w:color="000000" w:sz="0" w:space="0"/>
          <w:right w:val="none" w:color="000000" w:sz="0" w:space="0"/>
        </w:pBdr>
        <w:spacing w:before="0" w:after="0" w:line="276" w:lineRule="atLeast"/>
        <w:ind w:left="482" w:right="-170" w:hanging="478"/>
      </w:pPr>
      <w:r>
        <w:rPr>
          <w:rFonts w:ascii="宋体" w:hAnsi="宋体" w:eastAsia="宋体" w:cs="宋体"/>
          <w:b/>
          <w:color w:val="000000"/>
          <w:sz w:val="24"/>
        </w:rPr>
        <w:t>七、退换货</w:t>
      </w:r>
    </w:p>
    <w:p>
      <w:pPr>
        <w:pBdr>
          <w:top w:val="none" w:color="000000" w:sz="0" w:space="0"/>
          <w:left w:val="none" w:color="000000" w:sz="0" w:space="0"/>
          <w:bottom w:val="none" w:color="000000" w:sz="0" w:space="0"/>
          <w:right w:val="none" w:color="000000" w:sz="0" w:space="0"/>
        </w:pBdr>
        <w:spacing w:before="0" w:after="0" w:line="276" w:lineRule="atLeast"/>
        <w:ind w:left="879" w:right="-170" w:hanging="476"/>
      </w:pPr>
      <w:r>
        <w:rPr>
          <w:rFonts w:ascii="宋体" w:hAnsi="宋体" w:eastAsia="宋体" w:cs="宋体"/>
          <w:color w:val="000000"/>
          <w:sz w:val="24"/>
        </w:rPr>
        <w:t>甲方向乙方订购的货物是乙方按甲方合同而定购的专用货物，除非事先甲方取得生产厂家的书面同意并经乙方同意，否则甲方合同被乙方确认后不可以无故更改合同内容、退货、换货，不得更改或终止/放弃合同内容、不得拒收货物、延迟提货，否则应按合同总额向乙方进行全额赔偿。有关取得生产厂家同意后的退换货的相关费用按生产厂家标准执行，由甲方负责支付赔偿 。</w:t>
      </w:r>
    </w:p>
    <w:p>
      <w:pPr>
        <w:pBdr>
          <w:top w:val="none" w:color="000000" w:sz="0" w:space="0"/>
          <w:left w:val="none" w:color="000000" w:sz="0" w:space="0"/>
          <w:bottom w:val="none" w:color="000000" w:sz="0" w:space="0"/>
          <w:right w:val="none" w:color="000000" w:sz="0" w:space="0"/>
        </w:pBdr>
        <w:spacing w:before="0" w:after="0" w:line="360" w:lineRule="atLeast"/>
        <w:ind w:left="0" w:right="-170" w:firstLine="0"/>
      </w:pPr>
      <w:r>
        <w:rPr>
          <w:rFonts w:ascii="宋体" w:hAnsi="宋体" w:eastAsia="宋体" w:cs="宋体"/>
          <w:b/>
          <w:color w:val="000000"/>
          <w:sz w:val="24"/>
        </w:rPr>
        <w:t>八、违约责任</w:t>
      </w:r>
    </w:p>
    <w:p>
      <w:pPr>
        <w:numPr>
          <w:ilvl w:val="0"/>
          <w:numId w:val="7"/>
        </w:numPr>
        <w:pBdr>
          <w:top w:val="none" w:color="000000" w:sz="0" w:space="0"/>
          <w:left w:val="none" w:color="000000" w:sz="0" w:space="0"/>
          <w:bottom w:val="none" w:color="000000" w:sz="0" w:space="0"/>
          <w:right w:val="none" w:color="000000" w:sz="0" w:space="0"/>
        </w:pBdr>
        <w:tabs>
          <w:tab w:val="left" w:pos="720"/>
          <w:tab w:val="left" w:pos="945"/>
        </w:tabs>
        <w:spacing w:before="0" w:after="0" w:line="240" w:lineRule="exact"/>
        <w:jc w:val="both"/>
      </w:pPr>
      <w:r>
        <w:rPr>
          <w:rFonts w:ascii="宋体" w:hAnsi="宋体" w:eastAsia="宋体" w:cs="宋体"/>
          <w:color w:val="000000"/>
          <w:sz w:val="24"/>
        </w:rPr>
        <w:t>甲方延迟付款，从超过付款期限第三日起,甲方每日应付给乙方按应付账款总额的</w:t>
      </w:r>
      <w:r>
        <w:rPr>
          <w:rFonts w:ascii="宋体" w:hAnsi="宋体" w:eastAsia="宋体" w:cs="宋体"/>
          <w:color w:val="000000"/>
          <w:sz w:val="24"/>
          <w:u w:val="single"/>
        </w:rPr>
        <w:t>千分之五</w:t>
      </w:r>
      <w:r>
        <w:rPr>
          <w:rFonts w:ascii="宋体" w:hAnsi="宋体" w:eastAsia="宋体" w:cs="宋体"/>
          <w:color w:val="000000"/>
          <w:sz w:val="24"/>
        </w:rPr>
        <w:t>的罚款。</w:t>
      </w:r>
    </w:p>
    <w:p>
      <w:pPr>
        <w:numPr>
          <w:ilvl w:val="0"/>
          <w:numId w:val="7"/>
        </w:numPr>
        <w:pBdr>
          <w:top w:val="none" w:color="000000" w:sz="0" w:space="0"/>
          <w:left w:val="none" w:color="000000" w:sz="0" w:space="0"/>
          <w:bottom w:val="none" w:color="000000" w:sz="0" w:space="0"/>
          <w:right w:val="none" w:color="000000" w:sz="0" w:space="0"/>
        </w:pBdr>
        <w:tabs>
          <w:tab w:val="left" w:pos="720"/>
        </w:tabs>
        <w:spacing w:before="0" w:after="0" w:line="360" w:lineRule="exact"/>
        <w:jc w:val="both"/>
      </w:pPr>
      <w:r>
        <w:rPr>
          <w:rFonts w:ascii="宋体" w:hAnsi="宋体" w:eastAsia="宋体" w:cs="宋体"/>
          <w:color w:val="000000"/>
          <w:sz w:val="24"/>
        </w:rPr>
        <w:t>甲方为乙方提供的价格保密，没有乙方的书面认可不得向第三方出示，否则甲方将承担因此引起的相应责任，本合同将于双方全部完成合同规定的责任后终止。</w:t>
      </w:r>
    </w:p>
    <w:p>
      <w:pPr>
        <w:numPr>
          <w:ilvl w:val="0"/>
          <w:numId w:val="7"/>
        </w:numPr>
        <w:pBdr>
          <w:top w:val="none" w:color="000000" w:sz="0" w:space="0"/>
          <w:left w:val="none" w:color="000000" w:sz="0" w:space="0"/>
          <w:bottom w:val="none" w:color="000000" w:sz="0" w:space="0"/>
          <w:right w:val="none" w:color="000000" w:sz="0" w:space="0"/>
        </w:pBdr>
        <w:tabs>
          <w:tab w:val="left" w:pos="720"/>
        </w:tabs>
        <w:spacing w:before="0" w:after="0" w:line="360" w:lineRule="exact"/>
        <w:jc w:val="both"/>
        <w:rPr>
          <w:sz w:val="24"/>
        </w:rPr>
      </w:pPr>
      <w:r>
        <w:rPr>
          <w:sz w:val="24"/>
        </w:rPr>
        <w:t>乙方迟延交货的，自延迟交货第二日起，乙方每日应向甲方付合同总金额千分之五的违约金。</w:t>
      </w:r>
    </w:p>
    <w:p>
      <w:pPr>
        <w:pBdr>
          <w:top w:val="none" w:color="000000" w:sz="0" w:space="0"/>
          <w:left w:val="none" w:color="000000" w:sz="0" w:space="0"/>
          <w:bottom w:val="none" w:color="000000" w:sz="0" w:space="0"/>
          <w:right w:val="none" w:color="000000" w:sz="0" w:space="0"/>
        </w:pBdr>
        <w:spacing w:before="0" w:after="0" w:line="360" w:lineRule="atLeast"/>
        <w:ind w:left="0" w:right="-170" w:firstLine="0"/>
      </w:pPr>
      <w:r>
        <w:rPr>
          <w:rFonts w:ascii="宋体" w:hAnsi="宋体" w:eastAsia="宋体" w:cs="宋体"/>
          <w:b/>
          <w:color w:val="000000"/>
          <w:sz w:val="24"/>
        </w:rPr>
        <w:t>九、不可抗力</w:t>
      </w:r>
    </w:p>
    <w:p>
      <w:pPr>
        <w:numPr>
          <w:ilvl w:val="0"/>
          <w:numId w:val="8"/>
        </w:numPr>
        <w:pBdr>
          <w:top w:val="none" w:color="000000" w:sz="0" w:space="0"/>
          <w:left w:val="none" w:color="000000" w:sz="0" w:space="0"/>
          <w:bottom w:val="none" w:color="000000" w:sz="0" w:space="0"/>
          <w:right w:val="none" w:color="000000" w:sz="0" w:space="0"/>
        </w:pBdr>
        <w:tabs>
          <w:tab w:val="left" w:pos="720"/>
          <w:tab w:val="left" w:pos="945"/>
        </w:tabs>
        <w:spacing w:before="0" w:after="0" w:line="240" w:lineRule="exact"/>
        <w:jc w:val="both"/>
      </w:pPr>
      <w:r>
        <w:rPr>
          <w:rFonts w:ascii="宋体" w:hAnsi="宋体" w:eastAsia="宋体" w:cs="宋体"/>
          <w:color w:val="000000"/>
          <w:sz w:val="24"/>
        </w:rPr>
        <w:t>如本合同任何一方因不能预见、不能避免并不能克服的因素，包括：战争、火灾、水灾、台风、地震、政治或其它不可抗力事件而致使本合同无法按期履行，则履行本合同的时间应予延长，并可根据情况部分或全部免予承担违约责任。</w:t>
      </w:r>
    </w:p>
    <w:p>
      <w:pPr>
        <w:numPr>
          <w:ilvl w:val="0"/>
          <w:numId w:val="8"/>
        </w:numPr>
        <w:pBdr>
          <w:top w:val="none" w:color="000000" w:sz="0" w:space="0"/>
          <w:left w:val="none" w:color="000000" w:sz="0" w:space="0"/>
          <w:bottom w:val="none" w:color="000000" w:sz="0" w:space="0"/>
          <w:right w:val="none" w:color="000000" w:sz="0" w:space="0"/>
        </w:pBdr>
        <w:tabs>
          <w:tab w:val="left" w:pos="720"/>
          <w:tab w:val="left" w:pos="945"/>
        </w:tabs>
        <w:spacing w:before="0" w:after="0" w:line="240" w:lineRule="exact"/>
        <w:jc w:val="both"/>
      </w:pPr>
      <w:r>
        <w:rPr>
          <w:rFonts w:ascii="宋体" w:hAnsi="宋体" w:eastAsia="宋体" w:cs="宋体"/>
          <w:color w:val="000000"/>
          <w:sz w:val="24"/>
        </w:rPr>
        <w:t>受阻方应就不可抗力事件的发生应尽可能在最短的时间内，以书面形式通知另一方，并在其后十五日内向另一方发出有关部门出具的证明书或其他为公众认可的资料作为证明。</w:t>
      </w:r>
    </w:p>
    <w:p>
      <w:pPr>
        <w:numPr>
          <w:ilvl w:val="0"/>
          <w:numId w:val="8"/>
        </w:numPr>
        <w:pBdr>
          <w:top w:val="none" w:color="000000" w:sz="0" w:space="0"/>
          <w:left w:val="none" w:color="000000" w:sz="0" w:space="0"/>
          <w:bottom w:val="none" w:color="000000" w:sz="0" w:space="0"/>
          <w:right w:val="none" w:color="000000" w:sz="0" w:space="0"/>
        </w:pBdr>
        <w:tabs>
          <w:tab w:val="left" w:pos="720"/>
          <w:tab w:val="left" w:pos="945"/>
        </w:tabs>
        <w:spacing w:before="0" w:after="0" w:line="240" w:lineRule="exact"/>
        <w:jc w:val="both"/>
      </w:pPr>
      <w:r>
        <w:rPr>
          <w:rFonts w:ascii="宋体" w:hAnsi="宋体" w:eastAsia="宋体" w:cs="宋体"/>
          <w:color w:val="000000"/>
          <w:sz w:val="24"/>
        </w:rPr>
        <w:t>如不可抗力因素的影响持续超过六十日，双方应尽快进行友好协商，商定继续履行或解除本合同的方法。</w:t>
      </w:r>
    </w:p>
    <w:p>
      <w:pPr>
        <w:pBdr>
          <w:top w:val="none" w:color="000000" w:sz="0" w:space="0"/>
          <w:left w:val="none" w:color="000000" w:sz="0" w:space="0"/>
          <w:bottom w:val="none" w:color="000000" w:sz="0" w:space="0"/>
          <w:right w:val="none" w:color="000000" w:sz="0" w:space="0"/>
        </w:pBdr>
        <w:spacing w:before="0" w:after="0" w:line="360" w:lineRule="atLeast"/>
        <w:ind w:left="0" w:right="-170" w:firstLine="0"/>
      </w:pPr>
      <w:r>
        <w:rPr>
          <w:rFonts w:ascii="宋体" w:hAnsi="宋体" w:eastAsia="宋体" w:cs="宋体"/>
          <w:b/>
          <w:color w:val="000000"/>
          <w:sz w:val="24"/>
        </w:rPr>
        <w:t>十、合同的效力</w:t>
      </w:r>
    </w:p>
    <w:p>
      <w:pPr>
        <w:numPr>
          <w:ilvl w:val="0"/>
          <w:numId w:val="9"/>
        </w:numPr>
        <w:pBdr>
          <w:top w:val="none" w:color="000000" w:sz="0" w:space="0"/>
          <w:left w:val="none" w:color="000000" w:sz="0" w:space="0"/>
          <w:bottom w:val="none" w:color="000000" w:sz="0" w:space="0"/>
          <w:right w:val="none" w:color="000000" w:sz="0" w:space="0"/>
        </w:pBdr>
        <w:spacing w:before="0" w:after="0" w:line="276" w:lineRule="atLeast"/>
      </w:pPr>
      <w:r>
        <w:rPr>
          <w:rFonts w:ascii="宋体" w:hAnsi="宋体" w:eastAsia="宋体" w:cs="宋体"/>
          <w:color w:val="000000"/>
          <w:sz w:val="24"/>
        </w:rPr>
        <w:t>本合同自双方法定代表人/有权签署人签章并加盖公章或合同章后生效。</w:t>
      </w:r>
    </w:p>
    <w:p>
      <w:pPr>
        <w:numPr>
          <w:ilvl w:val="0"/>
          <w:numId w:val="9"/>
        </w:numPr>
        <w:pBdr>
          <w:top w:val="none" w:color="000000" w:sz="0" w:space="0"/>
          <w:left w:val="none" w:color="000000" w:sz="0" w:space="0"/>
          <w:bottom w:val="none" w:color="000000" w:sz="0" w:space="0"/>
          <w:right w:val="none" w:color="000000" w:sz="0" w:space="0"/>
        </w:pBdr>
        <w:spacing w:before="0" w:after="0" w:line="360" w:lineRule="atLeast"/>
      </w:pPr>
      <w:r>
        <w:rPr>
          <w:rFonts w:ascii="宋体" w:hAnsi="宋体" w:eastAsia="宋体" w:cs="宋体"/>
          <w:color w:val="000000"/>
          <w:sz w:val="24"/>
        </w:rPr>
        <w:t>本合同一式肆份，甲乙双方各执贰份，具有同等法律效力。</w:t>
      </w:r>
    </w:p>
    <w:p>
      <w:pPr>
        <w:pBdr>
          <w:top w:val="none" w:color="000000" w:sz="0" w:space="0"/>
          <w:left w:val="none" w:color="000000" w:sz="0" w:space="0"/>
          <w:bottom w:val="none" w:color="000000" w:sz="0" w:space="0"/>
          <w:right w:val="none" w:color="000000" w:sz="0" w:space="0"/>
        </w:pBdr>
        <w:spacing w:before="0" w:after="0" w:line="360" w:lineRule="atLeast"/>
        <w:ind w:left="0" w:right="-170" w:firstLine="0"/>
      </w:pPr>
      <w:r>
        <w:rPr>
          <w:rFonts w:ascii="宋体" w:hAnsi="宋体" w:eastAsia="宋体" w:cs="宋体"/>
          <w:b/>
          <w:color w:val="000000"/>
          <w:sz w:val="24"/>
        </w:rPr>
        <w:t>十一、解决合同纠纷的方式</w:t>
      </w:r>
    </w:p>
    <w:p>
      <w:pPr>
        <w:pBdr>
          <w:top w:val="none" w:color="000000" w:sz="0" w:space="0"/>
          <w:left w:val="none" w:color="000000" w:sz="0" w:space="0"/>
          <w:bottom w:val="none" w:color="000000" w:sz="0" w:space="0"/>
          <w:right w:val="none" w:color="000000" w:sz="0" w:space="0"/>
        </w:pBdr>
        <w:spacing w:before="0" w:after="0" w:line="360" w:lineRule="atLeast"/>
        <w:ind w:left="0" w:right="-170" w:firstLine="480"/>
      </w:pPr>
      <w:r>
        <w:rPr>
          <w:rFonts w:ascii="宋体" w:hAnsi="宋体" w:eastAsia="宋体" w:cs="宋体"/>
          <w:color w:val="000000"/>
          <w:sz w:val="24"/>
        </w:rPr>
        <w:t>本合同未尽事宜或在履约中发生争议，双方协商解决。协商不成，任意一方均可向甲方所在地人民法院提起诉讼。</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between w:val="none" w:color="000000" w:sz="0" w:space="0"/>
        </w:pBdr>
        <w:spacing w:before="0" w:after="0" w:line="360" w:lineRule="atLeast"/>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between w:val="none" w:color="000000" w:sz="0" w:space="0"/>
        </w:pBdr>
        <w:spacing w:before="0" w:after="0" w:line="500" w:lineRule="exact"/>
        <w:ind w:left="0" w:right="0" w:firstLine="0"/>
        <w:jc w:val="both"/>
        <w:rPr>
          <w:rFonts w:hint="eastAsia" w:eastAsia="宋体"/>
          <w:lang w:eastAsia="zh-CN"/>
        </w:rPr>
      </w:pPr>
      <w:r>
        <w:rPr>
          <w:rFonts w:ascii="宋体" w:hAnsi="宋体" w:eastAsia="宋体" w:cs="宋体"/>
          <w:color w:val="000000"/>
          <w:sz w:val="24"/>
        </w:rPr>
        <w:t>甲方：江苏昆山农村商业银行    乙方：</w:t>
      </w:r>
      <w:r>
        <w:rPr>
          <w:rFonts w:hint="eastAsia" w:ascii="宋体" w:hAnsi="宋体" w:cs="宋体"/>
          <w:color w:val="000000"/>
          <w:sz w:val="24"/>
          <w:lang w:val="en-US" w:eastAsia="zh-CN"/>
        </w:rPr>
        <w:t xml:space="preserve"> </w:t>
      </w:r>
    </w:p>
    <w:p>
      <w:pPr>
        <w:pBdr>
          <w:top w:val="none" w:color="000000" w:sz="0" w:space="0"/>
          <w:left w:val="none" w:color="000000" w:sz="0" w:space="0"/>
          <w:bottom w:val="none" w:color="000000" w:sz="0" w:space="0"/>
          <w:right w:val="none" w:color="000000" w:sz="0" w:space="0"/>
          <w:between w:val="none" w:color="000000" w:sz="0" w:space="0"/>
        </w:pBdr>
        <w:spacing w:before="0" w:after="0" w:line="500" w:lineRule="exact"/>
        <w:ind w:left="0" w:right="0" w:firstLine="1188"/>
        <w:jc w:val="both"/>
      </w:pPr>
      <w:r>
        <w:rPr>
          <w:rFonts w:ascii="宋体" w:hAnsi="宋体" w:eastAsia="宋体" w:cs="宋体"/>
          <w:color w:val="000000"/>
          <w:sz w:val="24"/>
        </w:rPr>
        <w:t>股份有限公司</w:t>
      </w:r>
      <w:r>
        <w:rPr>
          <w:rFonts w:ascii="宋体" w:hAnsi="宋体" w:eastAsia="宋体" w:cs="宋体"/>
          <w:color w:val="000000"/>
          <w:sz w:val="24"/>
        </w:rPr>
        <w:tab/>
      </w:r>
      <w:r>
        <w:rPr>
          <w:rFonts w:ascii="宋体" w:hAnsi="宋体" w:eastAsia="宋体" w:cs="宋体"/>
          <w:color w:val="000000"/>
          <w:sz w:val="24"/>
        </w:rPr>
        <w:tab/>
      </w:r>
      <w:r>
        <w:rPr>
          <w:rFonts w:ascii="宋体" w:hAnsi="宋体" w:eastAsia="宋体" w:cs="宋体"/>
          <w:color w:val="000000"/>
          <w:sz w:val="24"/>
        </w:rPr>
        <w:tab/>
      </w:r>
      <w:r>
        <w:rPr>
          <w:rFonts w:ascii="宋体" w:hAnsi="宋体" w:eastAsia="宋体" w:cs="宋体"/>
          <w:color w:val="000000"/>
          <w:sz w:val="24"/>
        </w:rPr>
        <w:tab/>
      </w:r>
    </w:p>
    <w:p>
      <w:pPr>
        <w:pBdr>
          <w:top w:val="none" w:color="000000" w:sz="0" w:space="0"/>
          <w:left w:val="none" w:color="000000" w:sz="0" w:space="0"/>
          <w:bottom w:val="none" w:color="000000" w:sz="0" w:space="0"/>
          <w:right w:val="none" w:color="000000" w:sz="0" w:space="0"/>
          <w:between w:val="none" w:color="000000" w:sz="0" w:space="0"/>
        </w:pBdr>
        <w:spacing w:before="0" w:after="0" w:line="500" w:lineRule="exact"/>
        <w:ind w:left="0" w:right="0" w:firstLine="0"/>
        <w:jc w:val="both"/>
      </w:pPr>
      <w:r>
        <w:rPr>
          <w:rFonts w:ascii="宋体" w:hAnsi="宋体" w:eastAsia="宋体" w:cs="宋体"/>
          <w:color w:val="000000"/>
          <w:sz w:val="24"/>
        </w:rPr>
        <w:t>（公章）            （公章）</w:t>
      </w:r>
    </w:p>
    <w:p>
      <w:pPr>
        <w:pBdr>
          <w:top w:val="none" w:color="000000" w:sz="0" w:space="0"/>
          <w:left w:val="none" w:color="000000" w:sz="0" w:space="0"/>
          <w:bottom w:val="none" w:color="000000" w:sz="0" w:space="0"/>
          <w:right w:val="none" w:color="000000" w:sz="0" w:space="0"/>
          <w:between w:val="none" w:color="000000" w:sz="0" w:space="0"/>
        </w:pBdr>
        <w:spacing w:before="0" w:after="0" w:line="500" w:lineRule="exact"/>
        <w:ind w:left="0" w:right="0" w:firstLine="120"/>
        <w:jc w:val="both"/>
      </w:pPr>
      <w:r>
        <w:rPr>
          <w:rFonts w:ascii="宋体" w:hAnsi="宋体" w:eastAsia="宋体" w:cs="宋体"/>
          <w:color w:val="000000"/>
          <w:sz w:val="24"/>
        </w:rPr>
        <w:tab/>
      </w:r>
      <w:r>
        <w:rPr>
          <w:rFonts w:ascii="宋体" w:hAnsi="宋体" w:eastAsia="宋体" w:cs="宋体"/>
          <w:color w:val="000000"/>
          <w:sz w:val="24"/>
        </w:rPr>
        <w:tab/>
      </w:r>
      <w:r>
        <w:rPr>
          <w:rFonts w:ascii="宋体" w:hAnsi="宋体" w:eastAsia="宋体" w:cs="宋体"/>
          <w:color w:val="000000"/>
          <w:sz w:val="24"/>
        </w:rPr>
        <w:t>             法定代表人/有权签署人：</w:t>
      </w:r>
    </w:p>
    <w:p>
      <w:pPr>
        <w:pBdr>
          <w:top w:val="none" w:color="000000" w:sz="0" w:space="0"/>
          <w:left w:val="none" w:color="000000" w:sz="0" w:space="0"/>
          <w:bottom w:val="none" w:color="000000" w:sz="0" w:space="0"/>
          <w:right w:val="none" w:color="000000" w:sz="0" w:space="0"/>
          <w:between w:val="none" w:color="000000" w:sz="0" w:space="0"/>
        </w:pBdr>
        <w:spacing w:before="0" w:after="0" w:line="500" w:lineRule="exact"/>
        <w:ind w:left="0" w:right="0" w:firstLine="0"/>
        <w:jc w:val="both"/>
      </w:pPr>
      <w:r>
        <w:rPr>
          <w:rFonts w:ascii="宋体" w:hAnsi="宋体" w:eastAsia="宋体" w:cs="宋体"/>
          <w:color w:val="000000"/>
          <w:sz w:val="24"/>
        </w:rPr>
        <w:t>202</w:t>
      </w:r>
      <w:r>
        <w:rPr>
          <w:rFonts w:hint="eastAsia" w:ascii="宋体" w:hAnsi="宋体" w:cs="宋体"/>
          <w:color w:val="000000"/>
          <w:sz w:val="24"/>
          <w:lang w:val="en-US" w:eastAsia="zh-CN"/>
        </w:rPr>
        <w:t>5</w:t>
      </w:r>
      <w:r>
        <w:rPr>
          <w:rFonts w:ascii="宋体" w:hAnsi="宋体" w:eastAsia="宋体" w:cs="宋体"/>
          <w:color w:val="000000"/>
          <w:sz w:val="24"/>
        </w:rPr>
        <w:t>年   月   日</w:t>
      </w:r>
      <w:r>
        <w:rPr>
          <w:rFonts w:ascii="宋体" w:hAnsi="宋体" w:eastAsia="宋体" w:cs="宋体"/>
          <w:color w:val="000000"/>
          <w:sz w:val="24"/>
        </w:rPr>
        <w:tab/>
      </w:r>
      <w:r>
        <w:rPr>
          <w:rFonts w:ascii="宋体" w:hAnsi="宋体" w:eastAsia="宋体" w:cs="宋体"/>
          <w:color w:val="000000"/>
          <w:sz w:val="24"/>
        </w:rPr>
        <w:tab/>
      </w:r>
      <w:r>
        <w:rPr>
          <w:rFonts w:ascii="宋体" w:hAnsi="宋体" w:eastAsia="宋体" w:cs="宋体"/>
          <w:color w:val="000000"/>
          <w:sz w:val="24"/>
        </w:rPr>
        <w:tab/>
      </w:r>
      <w:r>
        <w:rPr>
          <w:rFonts w:ascii="宋体" w:hAnsi="宋体" w:eastAsia="宋体" w:cs="宋体"/>
          <w:color w:val="000000"/>
          <w:sz w:val="24"/>
        </w:rPr>
        <w:t>  202</w:t>
      </w:r>
      <w:r>
        <w:rPr>
          <w:rFonts w:hint="eastAsia" w:ascii="宋体" w:hAnsi="宋体" w:cs="宋体"/>
          <w:color w:val="000000"/>
          <w:sz w:val="24"/>
          <w:lang w:val="en-US" w:eastAsia="zh-CN"/>
        </w:rPr>
        <w:t>5</w:t>
      </w:r>
      <w:r>
        <w:rPr>
          <w:rFonts w:ascii="宋体" w:hAnsi="宋体" w:eastAsia="宋体" w:cs="宋体"/>
          <w:color w:val="000000"/>
          <w:sz w:val="24"/>
        </w:rPr>
        <w:t>年   月   日</w:t>
      </w:r>
    </w:p>
    <w:p>
      <w:pPr>
        <w:widowControl/>
        <w:jc w:val="left"/>
        <w:rPr>
          <w:rFonts w:hint="eastAsia" w:ascii="仿宋_GB2312" w:eastAsia="仿宋_GB2312"/>
          <w:sz w:val="28"/>
          <w:szCs w:val="28"/>
          <w:highlight w:val="yellow"/>
        </w:rPr>
      </w:pPr>
    </w:p>
    <w:p>
      <w:pPr>
        <w:widowControl/>
        <w:jc w:val="left"/>
        <w:rPr>
          <w:rFonts w:hint="eastAsia" w:ascii="仿宋_GB2312" w:eastAsia="仿宋_GB2312"/>
          <w:sz w:val="28"/>
          <w:szCs w:val="28"/>
          <w:highlight w:val="yellow"/>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snapToGrid w:val="0"/>
        <w:spacing w:line="360" w:lineRule="auto"/>
        <w:outlineLvl w:val="1"/>
        <w:rPr>
          <w:rFonts w:hint="eastAsia" w:ascii="仿宋_GB2312" w:hAnsi="宋体" w:eastAsia="仿宋_GB2312"/>
          <w:color w:val="000000"/>
          <w:sz w:val="28"/>
          <w:szCs w:val="28"/>
          <w:highlight w:val="red"/>
        </w:rPr>
      </w:pPr>
    </w:p>
    <w:p>
      <w:pPr>
        <w:snapToGrid w:val="0"/>
        <w:spacing w:line="360" w:lineRule="auto"/>
        <w:outlineLvl w:val="1"/>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附件6：《供应商反腐败/反贿赂承诺书》</w:t>
      </w:r>
    </w:p>
    <w:p>
      <w:pPr>
        <w:jc w:val="center"/>
        <w:rPr>
          <w:rFonts w:ascii="仿宋_GB2312" w:hAnsi="宋体" w:eastAsia="仿宋_GB2312"/>
          <w:color w:val="000000"/>
          <w:sz w:val="28"/>
          <w:szCs w:val="28"/>
          <w:highlight w:val="none"/>
        </w:rPr>
      </w:pPr>
    </w:p>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供应商反腐败/反贿赂承诺书</w:t>
      </w:r>
    </w:p>
    <w:p>
      <w:pPr>
        <w:jc w:val="center"/>
        <w:rPr>
          <w:rFonts w:ascii="仿宋_GB2312" w:hAnsi="仿宋"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江苏昆山农村商业银行股份有限公司：</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本公司自愿与贵行合作，互惠共赢，确保采购招投标活动的规范与廉洁，从源头上预防和遏制违法违纪问题的发生，特作以下承诺：</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1、在业务往来中，严格遵守国家有关的法律法规和廉洁从业规定，坚持公平、公开、公正、诚实信用的原则，决不损害国家和企业利益。</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2、本公司（含公司工作人员，下同）决不向贵行工作人员（含工作人员的配偶、子女及亲属，下同）馈赠礼品（包括但不限于现金、有价证券、支付凭证及贵重物品等）。</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3、本公司决不向贵行工作人员提供宴请、联谊活动、度假、旅游，以及到营业性娱乐场所消费。</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4、本公司决不为贵行工作人员安排工作，以及支付应由其个人自付的各种费用。</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5、若本公司发现贵行工作人员有违反本承诺书行为倾向的，应及时提醒纠正并向贵行监督管理部门举报。</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6、如发现本公司违反承诺，经贵行监督管理部门认定违规事实后，按照下列规定进行处罚。</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（1）同意按照合作项目合同总金额的5%支付违约金。</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（2）同意贵行解除相关合同，由此造成贵行的损失概由本公司完全承担并赔偿。</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（3）承担由此产生的全部法律责任。</w:t>
      </w:r>
    </w:p>
    <w:p>
      <w:pPr>
        <w:ind w:firstLine="600"/>
        <w:rPr>
          <w:rFonts w:ascii="仿宋_GB2312" w:hAnsi="宋体" w:eastAsia="仿宋_GB2312"/>
          <w:sz w:val="28"/>
          <w:szCs w:val="28"/>
          <w:highlight w:val="none"/>
        </w:rPr>
      </w:pP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（公司加盖公章）</w:t>
      </w: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法定代表人/有权签署人（签名或盖章）：           </w:t>
      </w:r>
    </w:p>
    <w:p>
      <w:pPr>
        <w:ind w:firstLine="600"/>
        <w:jc w:val="right"/>
        <w:rPr>
          <w:rFonts w:ascii="仿宋_GB2312" w:hAnsi="宋体" w:eastAsia="仿宋_GB2312"/>
          <w:sz w:val="30"/>
          <w:szCs w:val="30"/>
        </w:rPr>
      </w:pPr>
      <w:r>
        <w:rPr>
          <w:rFonts w:hint="eastAsia" w:ascii="仿宋_GB2312" w:hAnsi="宋体" w:eastAsia="仿宋_GB2312"/>
          <w:sz w:val="28"/>
          <w:szCs w:val="28"/>
          <w:highlight w:val="none"/>
        </w:rPr>
        <w:t xml:space="preserve">日期：   </w:t>
      </w:r>
      <w:r>
        <w:rPr>
          <w:rFonts w:hint="eastAsia" w:ascii="仿宋_GB2312" w:hAnsi="宋体" w:eastAsia="仿宋_GB2312"/>
          <w:sz w:val="28"/>
          <w:szCs w:val="28"/>
        </w:rPr>
        <w:t xml:space="preserve">     </w:t>
      </w:r>
      <w:r>
        <w:rPr>
          <w:rFonts w:ascii="仿宋_GB2312" w:hAnsi="宋体" w:eastAsia="仿宋_GB2312"/>
          <w:sz w:val="30"/>
          <w:szCs w:val="30"/>
        </w:rPr>
        <w:t xml:space="preserve">   </w:t>
      </w:r>
    </w:p>
    <w:p/>
    <w:sectPr>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FZXiaoBiaoSong-B05S">
    <w:altName w:val="微软雅黑"/>
    <w:panose1 w:val="00000000000000000000"/>
    <w:charset w:val="00"/>
    <w:family w:val="swiss"/>
    <w:pitch w:val="default"/>
    <w:sig w:usb0="00000000" w:usb1="00000000" w:usb2="0000001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720" w:hanging="356"/>
      </w:pPr>
    </w:lvl>
    <w:lvl w:ilvl="1" w:tentative="0">
      <w:start w:val="1"/>
      <w:numFmt w:val="lowerLetter"/>
      <w:lvlText w:val="%2."/>
      <w:lvlJc w:val="left"/>
      <w:pPr>
        <w:ind w:left="1440" w:hanging="356"/>
      </w:pPr>
    </w:lvl>
    <w:lvl w:ilvl="2" w:tentative="0">
      <w:start w:val="1"/>
      <w:numFmt w:val="lowerRoman"/>
      <w:lvlText w:val="%3."/>
      <w:lvlJc w:val="right"/>
      <w:pPr>
        <w:ind w:left="2160" w:hanging="176"/>
      </w:pPr>
    </w:lvl>
    <w:lvl w:ilvl="3" w:tentative="0">
      <w:start w:val="1"/>
      <w:numFmt w:val="decimal"/>
      <w:lvlText w:val="%4."/>
      <w:lvlJc w:val="left"/>
      <w:pPr>
        <w:ind w:left="2880" w:hanging="356"/>
      </w:pPr>
    </w:lvl>
    <w:lvl w:ilvl="4" w:tentative="0">
      <w:start w:val="1"/>
      <w:numFmt w:val="lowerLetter"/>
      <w:lvlText w:val="%5."/>
      <w:lvlJc w:val="left"/>
      <w:pPr>
        <w:ind w:left="3600" w:hanging="356"/>
      </w:pPr>
    </w:lvl>
    <w:lvl w:ilvl="5" w:tentative="0">
      <w:start w:val="1"/>
      <w:numFmt w:val="lowerRoman"/>
      <w:lvlText w:val="%6."/>
      <w:lvlJc w:val="right"/>
      <w:pPr>
        <w:ind w:left="4320" w:hanging="176"/>
      </w:pPr>
    </w:lvl>
    <w:lvl w:ilvl="6" w:tentative="0">
      <w:start w:val="1"/>
      <w:numFmt w:val="decimal"/>
      <w:lvlText w:val="%7."/>
      <w:lvlJc w:val="left"/>
      <w:pPr>
        <w:ind w:left="5040" w:hanging="356"/>
      </w:pPr>
    </w:lvl>
    <w:lvl w:ilvl="7" w:tentative="0">
      <w:start w:val="1"/>
      <w:numFmt w:val="lowerLetter"/>
      <w:lvlText w:val="%8."/>
      <w:lvlJc w:val="left"/>
      <w:pPr>
        <w:ind w:left="5760" w:hanging="356"/>
      </w:pPr>
    </w:lvl>
    <w:lvl w:ilvl="8" w:tentative="0">
      <w:start w:val="1"/>
      <w:numFmt w:val="lowerRoman"/>
      <w:lvlText w:val="%9."/>
      <w:lvlJc w:val="right"/>
      <w:pPr>
        <w:ind w:left="6480" w:hanging="176"/>
      </w:pPr>
    </w:lvl>
  </w:abstractNum>
  <w:abstractNum w:abstractNumId="1">
    <w:nsid w:val="BF205925"/>
    <w:multiLevelType w:val="multilevel"/>
    <w:tmpl w:val="BF205925"/>
    <w:lvl w:ilvl="0" w:tentative="0">
      <w:start w:val="1"/>
      <w:numFmt w:val="decimal"/>
      <w:lvlText w:val="%1."/>
      <w:lvlJc w:val="left"/>
      <w:pPr>
        <w:ind w:left="720" w:hanging="356"/>
      </w:pPr>
    </w:lvl>
    <w:lvl w:ilvl="1" w:tentative="0">
      <w:start w:val="1"/>
      <w:numFmt w:val="lowerLetter"/>
      <w:lvlText w:val="%2."/>
      <w:lvlJc w:val="left"/>
      <w:pPr>
        <w:ind w:left="1440" w:hanging="356"/>
      </w:pPr>
    </w:lvl>
    <w:lvl w:ilvl="2" w:tentative="0">
      <w:start w:val="1"/>
      <w:numFmt w:val="lowerRoman"/>
      <w:lvlText w:val="%3."/>
      <w:lvlJc w:val="right"/>
      <w:pPr>
        <w:ind w:left="2160" w:hanging="176"/>
      </w:pPr>
    </w:lvl>
    <w:lvl w:ilvl="3" w:tentative="0">
      <w:start w:val="1"/>
      <w:numFmt w:val="decimal"/>
      <w:lvlText w:val="%4."/>
      <w:lvlJc w:val="left"/>
      <w:pPr>
        <w:ind w:left="2880" w:hanging="356"/>
      </w:pPr>
    </w:lvl>
    <w:lvl w:ilvl="4" w:tentative="0">
      <w:start w:val="1"/>
      <w:numFmt w:val="lowerLetter"/>
      <w:lvlText w:val="%5."/>
      <w:lvlJc w:val="left"/>
      <w:pPr>
        <w:ind w:left="3600" w:hanging="356"/>
      </w:pPr>
    </w:lvl>
    <w:lvl w:ilvl="5" w:tentative="0">
      <w:start w:val="1"/>
      <w:numFmt w:val="lowerRoman"/>
      <w:lvlText w:val="%6."/>
      <w:lvlJc w:val="right"/>
      <w:pPr>
        <w:ind w:left="4320" w:hanging="176"/>
      </w:pPr>
    </w:lvl>
    <w:lvl w:ilvl="6" w:tentative="0">
      <w:start w:val="1"/>
      <w:numFmt w:val="decimal"/>
      <w:lvlText w:val="%7."/>
      <w:lvlJc w:val="left"/>
      <w:pPr>
        <w:ind w:left="5040" w:hanging="356"/>
      </w:pPr>
    </w:lvl>
    <w:lvl w:ilvl="7" w:tentative="0">
      <w:start w:val="1"/>
      <w:numFmt w:val="lowerLetter"/>
      <w:lvlText w:val="%8."/>
      <w:lvlJc w:val="left"/>
      <w:pPr>
        <w:ind w:left="5760" w:hanging="356"/>
      </w:pPr>
    </w:lvl>
    <w:lvl w:ilvl="8" w:tentative="0">
      <w:start w:val="1"/>
      <w:numFmt w:val="lowerRoman"/>
      <w:lvlText w:val="%9."/>
      <w:lvlJc w:val="right"/>
      <w:pPr>
        <w:ind w:left="6480" w:hanging="176"/>
      </w:pPr>
    </w:lvl>
  </w:abstractNum>
  <w:abstractNum w:abstractNumId="2">
    <w:nsid w:val="0248C179"/>
    <w:multiLevelType w:val="multilevel"/>
    <w:tmpl w:val="0248C179"/>
    <w:lvl w:ilvl="0" w:tentative="0">
      <w:start w:val="1"/>
      <w:numFmt w:val="decimal"/>
      <w:lvlText w:val="%1."/>
      <w:lvlJc w:val="left"/>
      <w:pPr>
        <w:ind w:left="720" w:hanging="356"/>
      </w:pPr>
    </w:lvl>
    <w:lvl w:ilvl="1" w:tentative="0">
      <w:start w:val="1"/>
      <w:numFmt w:val="lowerLetter"/>
      <w:lvlText w:val="%2."/>
      <w:lvlJc w:val="left"/>
      <w:pPr>
        <w:ind w:left="1440" w:hanging="356"/>
      </w:pPr>
    </w:lvl>
    <w:lvl w:ilvl="2" w:tentative="0">
      <w:start w:val="1"/>
      <w:numFmt w:val="lowerRoman"/>
      <w:lvlText w:val="%3."/>
      <w:lvlJc w:val="right"/>
      <w:pPr>
        <w:ind w:left="2160" w:hanging="176"/>
      </w:pPr>
    </w:lvl>
    <w:lvl w:ilvl="3" w:tentative="0">
      <w:start w:val="1"/>
      <w:numFmt w:val="decimal"/>
      <w:lvlText w:val="%4."/>
      <w:lvlJc w:val="left"/>
      <w:pPr>
        <w:ind w:left="2880" w:hanging="356"/>
      </w:pPr>
    </w:lvl>
    <w:lvl w:ilvl="4" w:tentative="0">
      <w:start w:val="1"/>
      <w:numFmt w:val="lowerLetter"/>
      <w:lvlText w:val="%5."/>
      <w:lvlJc w:val="left"/>
      <w:pPr>
        <w:ind w:left="3600" w:hanging="356"/>
      </w:pPr>
    </w:lvl>
    <w:lvl w:ilvl="5" w:tentative="0">
      <w:start w:val="1"/>
      <w:numFmt w:val="lowerRoman"/>
      <w:lvlText w:val="%6."/>
      <w:lvlJc w:val="right"/>
      <w:pPr>
        <w:ind w:left="4320" w:hanging="176"/>
      </w:pPr>
    </w:lvl>
    <w:lvl w:ilvl="6" w:tentative="0">
      <w:start w:val="1"/>
      <w:numFmt w:val="decimal"/>
      <w:lvlText w:val="%7."/>
      <w:lvlJc w:val="left"/>
      <w:pPr>
        <w:ind w:left="5040" w:hanging="356"/>
      </w:pPr>
    </w:lvl>
    <w:lvl w:ilvl="7" w:tentative="0">
      <w:start w:val="1"/>
      <w:numFmt w:val="lowerLetter"/>
      <w:lvlText w:val="%8."/>
      <w:lvlJc w:val="left"/>
      <w:pPr>
        <w:ind w:left="5760" w:hanging="356"/>
      </w:pPr>
    </w:lvl>
    <w:lvl w:ilvl="8" w:tentative="0">
      <w:start w:val="1"/>
      <w:numFmt w:val="lowerRoman"/>
      <w:lvlText w:val="%9."/>
      <w:lvlJc w:val="right"/>
      <w:pPr>
        <w:ind w:left="6480" w:hanging="176"/>
      </w:pPr>
    </w:lvl>
  </w:abstractNum>
  <w:abstractNum w:abstractNumId="3">
    <w:nsid w:val="03D62ECE"/>
    <w:multiLevelType w:val="multilevel"/>
    <w:tmpl w:val="03D62ECE"/>
    <w:lvl w:ilvl="0" w:tentative="0">
      <w:start w:val="1"/>
      <w:numFmt w:val="decimal"/>
      <w:lvlText w:val="%1."/>
      <w:lvlJc w:val="left"/>
      <w:pPr>
        <w:ind w:left="720" w:hanging="356"/>
      </w:pPr>
    </w:lvl>
    <w:lvl w:ilvl="1" w:tentative="0">
      <w:start w:val="1"/>
      <w:numFmt w:val="lowerLetter"/>
      <w:lvlText w:val="%2."/>
      <w:lvlJc w:val="left"/>
      <w:pPr>
        <w:ind w:left="1440" w:hanging="356"/>
      </w:pPr>
    </w:lvl>
    <w:lvl w:ilvl="2" w:tentative="0">
      <w:start w:val="1"/>
      <w:numFmt w:val="lowerRoman"/>
      <w:lvlText w:val="%3."/>
      <w:lvlJc w:val="right"/>
      <w:pPr>
        <w:ind w:left="2160" w:hanging="176"/>
      </w:pPr>
    </w:lvl>
    <w:lvl w:ilvl="3" w:tentative="0">
      <w:start w:val="1"/>
      <w:numFmt w:val="decimal"/>
      <w:lvlText w:val="%4."/>
      <w:lvlJc w:val="left"/>
      <w:pPr>
        <w:ind w:left="2880" w:hanging="356"/>
      </w:pPr>
    </w:lvl>
    <w:lvl w:ilvl="4" w:tentative="0">
      <w:start w:val="1"/>
      <w:numFmt w:val="lowerLetter"/>
      <w:lvlText w:val="%5."/>
      <w:lvlJc w:val="left"/>
      <w:pPr>
        <w:ind w:left="3600" w:hanging="356"/>
      </w:pPr>
    </w:lvl>
    <w:lvl w:ilvl="5" w:tentative="0">
      <w:start w:val="1"/>
      <w:numFmt w:val="lowerRoman"/>
      <w:lvlText w:val="%6."/>
      <w:lvlJc w:val="right"/>
      <w:pPr>
        <w:ind w:left="4320" w:hanging="176"/>
      </w:pPr>
    </w:lvl>
    <w:lvl w:ilvl="6" w:tentative="0">
      <w:start w:val="1"/>
      <w:numFmt w:val="decimal"/>
      <w:lvlText w:val="%7."/>
      <w:lvlJc w:val="left"/>
      <w:pPr>
        <w:ind w:left="5040" w:hanging="356"/>
      </w:pPr>
    </w:lvl>
    <w:lvl w:ilvl="7" w:tentative="0">
      <w:start w:val="1"/>
      <w:numFmt w:val="lowerLetter"/>
      <w:lvlText w:val="%8."/>
      <w:lvlJc w:val="left"/>
      <w:pPr>
        <w:ind w:left="5760" w:hanging="356"/>
      </w:pPr>
    </w:lvl>
    <w:lvl w:ilvl="8" w:tentative="0">
      <w:start w:val="1"/>
      <w:numFmt w:val="lowerRoman"/>
      <w:lvlText w:val="%9."/>
      <w:lvlJc w:val="right"/>
      <w:pPr>
        <w:ind w:left="6480" w:hanging="176"/>
      </w:pPr>
    </w:lvl>
  </w:abstractNum>
  <w:abstractNum w:abstractNumId="4">
    <w:nsid w:val="25B654F3"/>
    <w:multiLevelType w:val="multilevel"/>
    <w:tmpl w:val="25B654F3"/>
    <w:lvl w:ilvl="0" w:tentative="0">
      <w:start w:val="1"/>
      <w:numFmt w:val="decimal"/>
      <w:lvlText w:val="%1."/>
      <w:lvlJc w:val="left"/>
      <w:pPr>
        <w:ind w:left="720" w:hanging="356"/>
      </w:pPr>
    </w:lvl>
    <w:lvl w:ilvl="1" w:tentative="0">
      <w:start w:val="1"/>
      <w:numFmt w:val="lowerLetter"/>
      <w:lvlText w:val="%2."/>
      <w:lvlJc w:val="left"/>
      <w:pPr>
        <w:ind w:left="1440" w:hanging="356"/>
      </w:pPr>
    </w:lvl>
    <w:lvl w:ilvl="2" w:tentative="0">
      <w:start w:val="1"/>
      <w:numFmt w:val="lowerRoman"/>
      <w:lvlText w:val="%3."/>
      <w:lvlJc w:val="right"/>
      <w:pPr>
        <w:ind w:left="2160" w:hanging="176"/>
      </w:pPr>
    </w:lvl>
    <w:lvl w:ilvl="3" w:tentative="0">
      <w:start w:val="1"/>
      <w:numFmt w:val="decimal"/>
      <w:lvlText w:val="%4."/>
      <w:lvlJc w:val="left"/>
      <w:pPr>
        <w:ind w:left="2880" w:hanging="356"/>
      </w:pPr>
    </w:lvl>
    <w:lvl w:ilvl="4" w:tentative="0">
      <w:start w:val="1"/>
      <w:numFmt w:val="lowerLetter"/>
      <w:lvlText w:val="%5."/>
      <w:lvlJc w:val="left"/>
      <w:pPr>
        <w:ind w:left="3600" w:hanging="356"/>
      </w:pPr>
    </w:lvl>
    <w:lvl w:ilvl="5" w:tentative="0">
      <w:start w:val="1"/>
      <w:numFmt w:val="lowerRoman"/>
      <w:lvlText w:val="%6."/>
      <w:lvlJc w:val="right"/>
      <w:pPr>
        <w:ind w:left="4320" w:hanging="176"/>
      </w:pPr>
    </w:lvl>
    <w:lvl w:ilvl="6" w:tentative="0">
      <w:start w:val="1"/>
      <w:numFmt w:val="decimal"/>
      <w:lvlText w:val="%7."/>
      <w:lvlJc w:val="left"/>
      <w:pPr>
        <w:ind w:left="5040" w:hanging="356"/>
      </w:pPr>
    </w:lvl>
    <w:lvl w:ilvl="7" w:tentative="0">
      <w:start w:val="1"/>
      <w:numFmt w:val="lowerLetter"/>
      <w:lvlText w:val="%8."/>
      <w:lvlJc w:val="left"/>
      <w:pPr>
        <w:ind w:left="5760" w:hanging="356"/>
      </w:pPr>
    </w:lvl>
    <w:lvl w:ilvl="8" w:tentative="0">
      <w:start w:val="1"/>
      <w:numFmt w:val="lowerRoman"/>
      <w:lvlText w:val="%9."/>
      <w:lvlJc w:val="right"/>
      <w:pPr>
        <w:ind w:left="6480" w:hanging="176"/>
      </w:pPr>
    </w:lvl>
  </w:abstractNum>
  <w:abstractNum w:abstractNumId="5">
    <w:nsid w:val="3891BB07"/>
    <w:multiLevelType w:val="singleLevel"/>
    <w:tmpl w:val="3891BB07"/>
    <w:lvl w:ilvl="0" w:tentative="0">
      <w:start w:val="4"/>
      <w:numFmt w:val="decimal"/>
      <w:suff w:val="space"/>
      <w:lvlText w:val="%1、"/>
      <w:lvlJc w:val="left"/>
    </w:lvl>
  </w:abstractNum>
  <w:abstractNum w:abstractNumId="6">
    <w:nsid w:val="5279BCCF"/>
    <w:multiLevelType w:val="singleLevel"/>
    <w:tmpl w:val="5279BCCF"/>
    <w:lvl w:ilvl="0" w:tentative="0">
      <w:start w:val="1"/>
      <w:numFmt w:val="chineseCounting"/>
      <w:suff w:val="nothing"/>
      <w:lvlText w:val="%1、"/>
      <w:lvlJc w:val="left"/>
    </w:lvl>
  </w:abstractNum>
  <w:abstractNum w:abstractNumId="7">
    <w:nsid w:val="59ADCABA"/>
    <w:multiLevelType w:val="multilevel"/>
    <w:tmpl w:val="59ADCABA"/>
    <w:lvl w:ilvl="0" w:tentative="0">
      <w:start w:val="1"/>
      <w:numFmt w:val="bullet"/>
      <w:lvlText w:val="·"/>
      <w:lvlJc w:val="left"/>
      <w:pPr>
        <w:ind w:left="720" w:hanging="356"/>
      </w:pPr>
      <w:rPr>
        <w:rFonts w:ascii="Symbol" w:hAnsi="Symbol" w:eastAsia="Symbol" w:cs="Symbol"/>
      </w:rPr>
    </w:lvl>
    <w:lvl w:ilvl="1" w:tentative="0">
      <w:start w:val="1"/>
      <w:numFmt w:val="bullet"/>
      <w:lvlText w:val="o"/>
      <w:lvlJc w:val="left"/>
      <w:pPr>
        <w:ind w:left="1440" w:hanging="356"/>
      </w:pPr>
      <w:rPr>
        <w:rFonts w:ascii="Courier New" w:hAnsi="Courier New" w:eastAsia="Courier New" w:cs="Courier New"/>
      </w:rPr>
    </w:lvl>
    <w:lvl w:ilvl="2" w:tentative="0">
      <w:start w:val="1"/>
      <w:numFmt w:val="bullet"/>
      <w:lvlText w:val="§"/>
      <w:lvlJc w:val="left"/>
      <w:pPr>
        <w:ind w:left="2160" w:hanging="356"/>
      </w:pPr>
      <w:rPr>
        <w:rFonts w:ascii="Wingdings" w:hAnsi="Wingdings" w:eastAsia="Wingdings" w:cs="Wingdings"/>
      </w:rPr>
    </w:lvl>
    <w:lvl w:ilvl="3" w:tentative="0">
      <w:start w:val="1"/>
      <w:numFmt w:val="bullet"/>
      <w:lvlText w:val="·"/>
      <w:lvlJc w:val="left"/>
      <w:pPr>
        <w:ind w:left="2880" w:hanging="356"/>
      </w:pPr>
      <w:rPr>
        <w:rFonts w:ascii="Symbol" w:hAnsi="Symbol" w:eastAsia="Symbol" w:cs="Symbol"/>
      </w:rPr>
    </w:lvl>
    <w:lvl w:ilvl="4" w:tentative="0">
      <w:start w:val="1"/>
      <w:numFmt w:val="bullet"/>
      <w:lvlText w:val="o"/>
      <w:lvlJc w:val="left"/>
      <w:pPr>
        <w:ind w:left="3600" w:hanging="356"/>
      </w:pPr>
      <w:rPr>
        <w:rFonts w:ascii="Courier New" w:hAnsi="Courier New" w:eastAsia="Courier New" w:cs="Courier New"/>
      </w:rPr>
    </w:lvl>
    <w:lvl w:ilvl="5" w:tentative="0">
      <w:start w:val="1"/>
      <w:numFmt w:val="bullet"/>
      <w:lvlText w:val="§"/>
      <w:lvlJc w:val="left"/>
      <w:pPr>
        <w:ind w:left="4320" w:hanging="356"/>
      </w:pPr>
      <w:rPr>
        <w:rFonts w:ascii="Wingdings" w:hAnsi="Wingdings" w:eastAsia="Wingdings" w:cs="Wingdings"/>
      </w:rPr>
    </w:lvl>
    <w:lvl w:ilvl="6" w:tentative="0">
      <w:start w:val="1"/>
      <w:numFmt w:val="bullet"/>
      <w:lvlText w:val="·"/>
      <w:lvlJc w:val="left"/>
      <w:pPr>
        <w:ind w:left="5040" w:hanging="356"/>
      </w:pPr>
      <w:rPr>
        <w:rFonts w:ascii="Symbol" w:hAnsi="Symbol" w:eastAsia="Symbol" w:cs="Symbol"/>
      </w:rPr>
    </w:lvl>
    <w:lvl w:ilvl="7" w:tentative="0">
      <w:start w:val="1"/>
      <w:numFmt w:val="bullet"/>
      <w:lvlText w:val="o"/>
      <w:lvlJc w:val="left"/>
      <w:pPr>
        <w:ind w:left="5760" w:hanging="356"/>
      </w:pPr>
      <w:rPr>
        <w:rFonts w:ascii="Courier New" w:hAnsi="Courier New" w:eastAsia="Courier New" w:cs="Courier New"/>
      </w:rPr>
    </w:lvl>
    <w:lvl w:ilvl="8" w:tentative="0">
      <w:start w:val="1"/>
      <w:numFmt w:val="bullet"/>
      <w:lvlText w:val="§"/>
      <w:lvlJc w:val="left"/>
      <w:pPr>
        <w:ind w:left="6480" w:hanging="356"/>
      </w:pPr>
      <w:rPr>
        <w:rFonts w:ascii="Wingdings" w:hAnsi="Wingdings" w:eastAsia="Wingdings" w:cs="Wingdings"/>
      </w:rPr>
    </w:lvl>
  </w:abstractNum>
  <w:abstractNum w:abstractNumId="8">
    <w:nsid w:val="72183CF9"/>
    <w:multiLevelType w:val="multilevel"/>
    <w:tmpl w:val="72183CF9"/>
    <w:lvl w:ilvl="0" w:tentative="0">
      <w:start w:val="1"/>
      <w:numFmt w:val="decimal"/>
      <w:lvlText w:val="%1."/>
      <w:lvlJc w:val="left"/>
      <w:pPr>
        <w:ind w:left="720" w:hanging="356"/>
      </w:pPr>
    </w:lvl>
    <w:lvl w:ilvl="1" w:tentative="0">
      <w:start w:val="1"/>
      <w:numFmt w:val="lowerLetter"/>
      <w:lvlText w:val="%2."/>
      <w:lvlJc w:val="left"/>
      <w:pPr>
        <w:ind w:left="1440" w:hanging="356"/>
      </w:pPr>
    </w:lvl>
    <w:lvl w:ilvl="2" w:tentative="0">
      <w:start w:val="1"/>
      <w:numFmt w:val="lowerRoman"/>
      <w:lvlText w:val="%3."/>
      <w:lvlJc w:val="right"/>
      <w:pPr>
        <w:ind w:left="2160" w:hanging="176"/>
      </w:pPr>
    </w:lvl>
    <w:lvl w:ilvl="3" w:tentative="0">
      <w:start w:val="1"/>
      <w:numFmt w:val="decimal"/>
      <w:lvlText w:val="%4."/>
      <w:lvlJc w:val="left"/>
      <w:pPr>
        <w:ind w:left="2880" w:hanging="356"/>
      </w:pPr>
    </w:lvl>
    <w:lvl w:ilvl="4" w:tentative="0">
      <w:start w:val="1"/>
      <w:numFmt w:val="lowerLetter"/>
      <w:lvlText w:val="%5."/>
      <w:lvlJc w:val="left"/>
      <w:pPr>
        <w:ind w:left="3600" w:hanging="356"/>
      </w:pPr>
    </w:lvl>
    <w:lvl w:ilvl="5" w:tentative="0">
      <w:start w:val="1"/>
      <w:numFmt w:val="lowerRoman"/>
      <w:lvlText w:val="%6."/>
      <w:lvlJc w:val="right"/>
      <w:pPr>
        <w:ind w:left="4320" w:hanging="176"/>
      </w:pPr>
    </w:lvl>
    <w:lvl w:ilvl="6" w:tentative="0">
      <w:start w:val="1"/>
      <w:numFmt w:val="decimal"/>
      <w:lvlText w:val="%7."/>
      <w:lvlJc w:val="left"/>
      <w:pPr>
        <w:ind w:left="5040" w:hanging="356"/>
      </w:pPr>
    </w:lvl>
    <w:lvl w:ilvl="7" w:tentative="0">
      <w:start w:val="1"/>
      <w:numFmt w:val="lowerLetter"/>
      <w:lvlText w:val="%8."/>
      <w:lvlJc w:val="left"/>
      <w:pPr>
        <w:ind w:left="5760" w:hanging="356"/>
      </w:pPr>
    </w:lvl>
    <w:lvl w:ilvl="8" w:tentative="0">
      <w:start w:val="1"/>
      <w:numFmt w:val="lowerRoman"/>
      <w:lvlText w:val="%9."/>
      <w:lvlJc w:val="right"/>
      <w:pPr>
        <w:ind w:left="6480" w:hanging="176"/>
      </w:pPr>
    </w:lvl>
  </w:abstractNum>
  <w:num w:numId="1">
    <w:abstractNumId w:val="6"/>
  </w:num>
  <w:num w:numId="2">
    <w:abstractNumId w:val="5"/>
  </w:num>
  <w:num w:numId="3">
    <w:abstractNumId w:val="7"/>
  </w:num>
  <w:num w:numId="4">
    <w:abstractNumId w:val="1"/>
  </w:num>
  <w:num w:numId="5">
    <w:abstractNumId w:val="0"/>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2CC386C"/>
    <w:rsid w:val="05CC143D"/>
    <w:rsid w:val="088E7A13"/>
    <w:rsid w:val="08E87CD0"/>
    <w:rsid w:val="08F23952"/>
    <w:rsid w:val="0A486237"/>
    <w:rsid w:val="0D5D06F8"/>
    <w:rsid w:val="0E916015"/>
    <w:rsid w:val="10EC2DBD"/>
    <w:rsid w:val="12214082"/>
    <w:rsid w:val="1693432B"/>
    <w:rsid w:val="176750A6"/>
    <w:rsid w:val="1BEA53DD"/>
    <w:rsid w:val="1DCF3C78"/>
    <w:rsid w:val="22481C66"/>
    <w:rsid w:val="261A45F0"/>
    <w:rsid w:val="27D2049C"/>
    <w:rsid w:val="2917722E"/>
    <w:rsid w:val="2AB22DB8"/>
    <w:rsid w:val="2BD47D5F"/>
    <w:rsid w:val="2E8D0896"/>
    <w:rsid w:val="335868BA"/>
    <w:rsid w:val="36370921"/>
    <w:rsid w:val="36CF1ABB"/>
    <w:rsid w:val="394203E5"/>
    <w:rsid w:val="3993021C"/>
    <w:rsid w:val="3D6570A7"/>
    <w:rsid w:val="429369B1"/>
    <w:rsid w:val="450E3B34"/>
    <w:rsid w:val="46656487"/>
    <w:rsid w:val="4E173312"/>
    <w:rsid w:val="54DE526C"/>
    <w:rsid w:val="551F4206"/>
    <w:rsid w:val="55977C83"/>
    <w:rsid w:val="55D1544B"/>
    <w:rsid w:val="5ECB0C36"/>
    <w:rsid w:val="5FF06635"/>
    <w:rsid w:val="627A3067"/>
    <w:rsid w:val="64802BDC"/>
    <w:rsid w:val="665E6F36"/>
    <w:rsid w:val="6AC95817"/>
    <w:rsid w:val="74AA15C6"/>
    <w:rsid w:val="7D23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Body Text"/>
    <w:basedOn w:val="1"/>
    <w:link w:val="15"/>
    <w:qFormat/>
    <w:uiPriority w:val="0"/>
    <w:pPr>
      <w:spacing w:after="120"/>
    </w:pPr>
    <w:rPr>
      <w:color w:val="000000"/>
    </w:rPr>
  </w:style>
  <w:style w:type="paragraph" w:styleId="6">
    <w:name w:val="Plain Text"/>
    <w:basedOn w:val="1"/>
    <w:link w:val="17"/>
    <w:qFormat/>
    <w:uiPriority w:val="0"/>
    <w:rPr>
      <w:rFonts w:ascii="宋体" w:hAnsi="Courier New"/>
    </w:rPr>
  </w:style>
  <w:style w:type="paragraph" w:styleId="7">
    <w:name w:val="Date"/>
    <w:basedOn w:val="1"/>
    <w:next w:val="1"/>
    <w:link w:val="16"/>
    <w:qFormat/>
    <w:uiPriority w:val="0"/>
    <w:pPr>
      <w:ind w:left="100" w:leftChars="2500"/>
    </w:pPr>
    <w:rPr>
      <w:sz w:val="28"/>
    </w:rPr>
  </w:style>
  <w:style w:type="paragraph" w:styleId="8">
    <w:name w:val="Balloon Text"/>
    <w:basedOn w:val="1"/>
    <w:link w:val="28"/>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正文文本 Char"/>
    <w:basedOn w:val="13"/>
    <w:link w:val="5"/>
    <w:qFormat/>
    <w:uiPriority w:val="0"/>
    <w:rPr>
      <w:rFonts w:ascii="Times New Roman" w:hAnsi="Times New Roman" w:eastAsia="宋体" w:cs="Times New Roman"/>
      <w:color w:val="000000"/>
      <w:szCs w:val="20"/>
    </w:rPr>
  </w:style>
  <w:style w:type="character" w:customStyle="1" w:styleId="16">
    <w:name w:val="日期 Char"/>
    <w:basedOn w:val="13"/>
    <w:link w:val="7"/>
    <w:qFormat/>
    <w:uiPriority w:val="0"/>
    <w:rPr>
      <w:rFonts w:ascii="Times New Roman" w:hAnsi="Times New Roman" w:eastAsia="宋体" w:cs="Times New Roman"/>
      <w:sz w:val="28"/>
      <w:szCs w:val="20"/>
    </w:rPr>
  </w:style>
  <w:style w:type="character" w:customStyle="1" w:styleId="17">
    <w:name w:val="纯文本 Char"/>
    <w:basedOn w:val="13"/>
    <w:link w:val="6"/>
    <w:qFormat/>
    <w:uiPriority w:val="0"/>
    <w:rPr>
      <w:rFonts w:ascii="宋体" w:hAnsi="Courier New" w:eastAsia="宋体" w:cs="Times New Roman"/>
      <w:szCs w:val="20"/>
    </w:rPr>
  </w:style>
  <w:style w:type="character" w:customStyle="1" w:styleId="18">
    <w:name w:val="页眉 Char"/>
    <w:basedOn w:val="13"/>
    <w:link w:val="10"/>
    <w:qFormat/>
    <w:uiPriority w:val="99"/>
    <w:rPr>
      <w:rFonts w:ascii="Times New Roman" w:hAnsi="Times New Roman" w:eastAsia="宋体" w:cs="Times New Roman"/>
      <w:sz w:val="18"/>
      <w:szCs w:val="18"/>
    </w:rPr>
  </w:style>
  <w:style w:type="character" w:customStyle="1" w:styleId="19">
    <w:name w:val="页脚 Char"/>
    <w:basedOn w:val="13"/>
    <w:link w:val="9"/>
    <w:qFormat/>
    <w:uiPriority w:val="99"/>
    <w:rPr>
      <w:rFonts w:ascii="Times New Roman" w:hAnsi="Times New Roman" w:eastAsia="宋体" w:cs="Times New Roman"/>
      <w:sz w:val="18"/>
      <w:szCs w:val="18"/>
    </w:rPr>
  </w:style>
  <w:style w:type="character" w:customStyle="1" w:styleId="20">
    <w:name w:val="标题 1 Char"/>
    <w:basedOn w:val="13"/>
    <w:link w:val="2"/>
    <w:qFormat/>
    <w:uiPriority w:val="9"/>
    <w:rPr>
      <w:rFonts w:ascii="Times New Roman" w:hAnsi="Times New Roman" w:eastAsia="宋体" w:cs="Times New Roman"/>
      <w:b/>
      <w:bCs/>
      <w:kern w:val="44"/>
      <w:sz w:val="44"/>
      <w:szCs w:val="44"/>
    </w:rPr>
  </w:style>
  <w:style w:type="character" w:customStyle="1" w:styleId="21">
    <w:name w:val="标题 2 Char"/>
    <w:basedOn w:val="13"/>
    <w:link w:val="3"/>
    <w:qFormat/>
    <w:uiPriority w:val="9"/>
    <w:rPr>
      <w:rFonts w:asciiTheme="majorHAnsi" w:hAnsiTheme="majorHAnsi" w:eastAsiaTheme="majorEastAsia" w:cstheme="majorBidi"/>
      <w:b/>
      <w:bCs/>
      <w:sz w:val="32"/>
      <w:szCs w:val="32"/>
    </w:rPr>
  </w:style>
  <w:style w:type="character" w:customStyle="1" w:styleId="22">
    <w:name w:val="文档结构图 Char"/>
    <w:basedOn w:val="13"/>
    <w:link w:val="4"/>
    <w:semiHidden/>
    <w:qFormat/>
    <w:uiPriority w:val="99"/>
    <w:rPr>
      <w:rFonts w:ascii="宋体" w:hAnsi="Times New Roman" w:eastAsia="宋体" w:cs="Times New Roman"/>
      <w:sz w:val="18"/>
      <w:szCs w:val="18"/>
    </w:rPr>
  </w:style>
  <w:style w:type="paragraph" w:customStyle="1" w:styleId="23">
    <w:name w:val="列出段落1"/>
    <w:basedOn w:val="1"/>
    <w:link w:val="24"/>
    <w:qFormat/>
    <w:uiPriority w:val="34"/>
    <w:pPr>
      <w:ind w:firstLine="420" w:firstLineChars="200"/>
    </w:pPr>
    <w:rPr>
      <w:sz w:val="24"/>
      <w:szCs w:val="24"/>
    </w:rPr>
  </w:style>
  <w:style w:type="character" w:customStyle="1" w:styleId="24">
    <w:name w:val="列出段落 Char"/>
    <w:link w:val="23"/>
    <w:qFormat/>
    <w:uiPriority w:val="34"/>
    <w:rPr>
      <w:rFonts w:ascii="Times New Roman" w:hAnsi="Times New Roman" w:eastAsia="宋体" w:cs="Times New Roman"/>
      <w:sz w:val="24"/>
      <w:szCs w:val="24"/>
    </w:rPr>
  </w:style>
  <w:style w:type="paragraph" w:styleId="25">
    <w:name w:val="List Paragraph"/>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FZXiaoBiaoSong-B05S" w:hAnsi="Calibri" w:eastAsia="FZXiaoBiaoSong-B05S" w:cs="FZXiaoBiaoSong-B05S"/>
      <w:color w:val="000000"/>
      <w:kern w:val="0"/>
      <w:sz w:val="24"/>
      <w:szCs w:val="24"/>
      <w:lang w:val="en-US" w:eastAsia="zh-CN" w:bidi="ar-SA"/>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批注框文本 Char"/>
    <w:basedOn w:val="13"/>
    <w:link w:val="8"/>
    <w:semiHidden/>
    <w:qFormat/>
    <w:uiPriority w:val="99"/>
    <w:rPr>
      <w:rFonts w:ascii="Times New Roman" w:hAnsi="Times New Roman" w:eastAsia="宋体" w:cs="Times New Roman"/>
      <w:sz w:val="18"/>
      <w:szCs w:val="18"/>
    </w:rPr>
  </w:style>
  <w:style w:type="character" w:customStyle="1" w:styleId="29">
    <w:name w:val="font11"/>
    <w:basedOn w:val="1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1252</Words>
  <Characters>7143</Characters>
  <Lines>59</Lines>
  <Paragraphs>16</Paragraphs>
  <TotalTime>15</TotalTime>
  <ScaleCrop>false</ScaleCrop>
  <LinksUpToDate>false</LinksUpToDate>
  <CharactersWithSpaces>8379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2023-12-26T05:21:00Z</dcterms:created>
  <dc:creator>Administrator</dc:creator>
  <cp:lastModifiedBy>krcb</cp:lastModifiedBy>
  <dcterms:modified xsi:type="dcterms:W3CDTF">2025-02-24T02:40:38Z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