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rPr>
          <w:rFonts w:ascii="黑体" w:eastAsia="黑体"/>
          <w:sz w:val="28"/>
          <w:szCs w:val="28"/>
        </w:rPr>
      </w:pPr>
      <w:r>
        <w:rPr>
          <w:rFonts w:hint="eastAsia" w:ascii="黑体" w:eastAsia="黑体"/>
          <w:sz w:val="28"/>
          <w:szCs w:val="28"/>
        </w:rPr>
        <w:t>招标编号：WJLX2024-11</w:t>
      </w:r>
    </w:p>
    <w:p>
      <w:pPr>
        <w:tabs>
          <w:tab w:val="left" w:pos="8280"/>
        </w:tabs>
        <w:spacing w:line="360" w:lineRule="auto"/>
        <w:rPr>
          <w:rFonts w:ascii="黑体" w:eastAsia="黑体"/>
          <w:b/>
          <w:sz w:val="28"/>
          <w:szCs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pStyle w:val="2"/>
        <w:tabs>
          <w:tab w:val="left" w:pos="8280"/>
        </w:tabs>
        <w:spacing w:after="0" w:line="360" w:lineRule="auto"/>
        <w:jc w:val="center"/>
        <w:outlineLvl w:val="0"/>
        <w:rPr>
          <w:rFonts w:ascii="黑体" w:eastAsia="黑体"/>
          <w:sz w:val="44"/>
        </w:rPr>
      </w:pPr>
      <w:r>
        <w:rPr>
          <w:rFonts w:hint="eastAsia" w:ascii="黑体" w:eastAsia="黑体"/>
          <w:sz w:val="44"/>
        </w:rPr>
        <w:t>江苏</w:t>
      </w:r>
      <w:r>
        <w:rPr>
          <w:rFonts w:ascii="黑体" w:eastAsia="黑体"/>
          <w:sz w:val="44"/>
        </w:rPr>
        <w:t>昆山农村商业银行</w:t>
      </w:r>
      <w:r>
        <w:rPr>
          <w:rFonts w:hint="eastAsia" w:ascii="黑体" w:eastAsia="黑体"/>
          <w:sz w:val="44"/>
        </w:rPr>
        <w:t>股份有限公司</w:t>
      </w:r>
    </w:p>
    <w:p>
      <w:pPr>
        <w:pStyle w:val="2"/>
        <w:tabs>
          <w:tab w:val="left" w:pos="8280"/>
        </w:tabs>
        <w:spacing w:after="0" w:line="360" w:lineRule="auto"/>
        <w:jc w:val="center"/>
        <w:outlineLvl w:val="0"/>
        <w:rPr>
          <w:rFonts w:ascii="黑体" w:eastAsia="黑体"/>
          <w:sz w:val="44"/>
        </w:rPr>
      </w:pPr>
      <w:r>
        <w:rPr>
          <w:rFonts w:ascii="黑体" w:eastAsia="黑体"/>
          <w:sz w:val="44"/>
        </w:rPr>
        <w:t>招标书</w:t>
      </w:r>
    </w:p>
    <w:p>
      <w:pPr>
        <w:tabs>
          <w:tab w:val="left" w:pos="8280"/>
        </w:tabs>
        <w:spacing w:line="360" w:lineRule="auto"/>
        <w:jc w:val="center"/>
        <w:rPr>
          <w:rFonts w:ascii="宋体"/>
          <w:b/>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outlineLvl w:val="0"/>
        <w:rPr>
          <w:rFonts w:eastAsia="仿宋_GB2312"/>
          <w:sz w:val="28"/>
          <w:szCs w:val="28"/>
        </w:rPr>
      </w:pPr>
    </w:p>
    <w:p>
      <w:pPr>
        <w:tabs>
          <w:tab w:val="left" w:pos="8280"/>
        </w:tabs>
        <w:spacing w:line="360" w:lineRule="auto"/>
        <w:jc w:val="center"/>
        <w:outlineLvl w:val="0"/>
        <w:rPr>
          <w:rFonts w:eastAsia="仿宋_GB2312"/>
          <w:sz w:val="28"/>
          <w:szCs w:val="28"/>
        </w:rPr>
      </w:pPr>
    </w:p>
    <w:p>
      <w:pPr>
        <w:tabs>
          <w:tab w:val="left" w:pos="8280"/>
        </w:tabs>
        <w:spacing w:line="360" w:lineRule="auto"/>
        <w:jc w:val="center"/>
        <w:outlineLvl w:val="0"/>
        <w:rPr>
          <w:rFonts w:eastAsia="仿宋_GB2312"/>
          <w:sz w:val="28"/>
          <w:szCs w:val="28"/>
        </w:rPr>
      </w:pPr>
    </w:p>
    <w:p>
      <w:pPr>
        <w:tabs>
          <w:tab w:val="left" w:pos="8280"/>
        </w:tabs>
        <w:spacing w:line="360" w:lineRule="auto"/>
        <w:jc w:val="center"/>
        <w:outlineLvl w:val="0"/>
        <w:rPr>
          <w:rFonts w:ascii="宋体" w:eastAsia="仿宋_GB2312"/>
          <w:sz w:val="28"/>
          <w:szCs w:val="28"/>
        </w:rPr>
      </w:pPr>
      <w:r>
        <w:rPr>
          <w:rFonts w:hint="eastAsia" w:eastAsia="仿宋_GB2312"/>
          <w:sz w:val="28"/>
          <w:szCs w:val="28"/>
        </w:rPr>
        <w:t>江苏昆山农村商业银行股份有限公司</w:t>
      </w:r>
    </w:p>
    <w:p>
      <w:pPr>
        <w:pStyle w:val="8"/>
        <w:tabs>
          <w:tab w:val="left" w:pos="8280"/>
        </w:tabs>
        <w:spacing w:line="360" w:lineRule="auto"/>
        <w:ind w:left="0" w:leftChars="0" w:firstLine="3220" w:firstLineChars="1150"/>
        <w:outlineLvl w:val="0"/>
        <w:rPr>
          <w:rFonts w:eastAsia="仿宋_GB2312"/>
          <w:szCs w:val="28"/>
        </w:rPr>
      </w:pPr>
      <w:r>
        <w:rPr>
          <w:rFonts w:hint="eastAsia" w:eastAsia="仿宋_GB2312"/>
          <w:szCs w:val="28"/>
        </w:rPr>
        <w:t>2024年06月</w:t>
      </w:r>
    </w:p>
    <w:p>
      <w:pPr>
        <w:spacing w:line="360" w:lineRule="auto"/>
        <w:jc w:val="center"/>
        <w:rPr>
          <w:rFonts w:ascii="黑体" w:eastAsia="黑体"/>
          <w:sz w:val="32"/>
          <w:szCs w:val="32"/>
        </w:rPr>
      </w:pPr>
      <w:r>
        <w:br w:type="page"/>
      </w:r>
      <w:r>
        <w:rPr>
          <w:rFonts w:hint="eastAsia" w:ascii="黑体" w:eastAsia="黑体"/>
          <w:sz w:val="32"/>
          <w:szCs w:val="32"/>
        </w:rPr>
        <w:t>声</w:t>
      </w:r>
      <w:r>
        <w:rPr>
          <w:rFonts w:hint="eastAsia" w:ascii="黑体" w:eastAsia="黑体"/>
          <w:sz w:val="32"/>
          <w:szCs w:val="32"/>
        </w:rPr>
        <w:tab/>
      </w:r>
      <w:r>
        <w:rPr>
          <w:rFonts w:hint="eastAsia" w:ascii="黑体" w:eastAsia="黑体"/>
          <w:sz w:val="32"/>
          <w:szCs w:val="32"/>
        </w:rPr>
        <w:tab/>
      </w:r>
      <w:r>
        <w:rPr>
          <w:rFonts w:hint="eastAsia" w:ascii="黑体" w:eastAsia="黑体"/>
          <w:sz w:val="32"/>
          <w:szCs w:val="32"/>
        </w:rPr>
        <w:t>明</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本招标文件专用于江苏昆山农村商业银行股份有限公司本次采购</w:t>
      </w:r>
      <w:r>
        <w:rPr>
          <w:rFonts w:hint="eastAsia" w:ascii="仿宋_GB2312" w:eastAsia="仿宋_GB2312"/>
          <w:sz w:val="28"/>
          <w:szCs w:val="28"/>
          <w:u w:val="single"/>
        </w:rPr>
        <w:t>老款银医通自助设备维保服务</w:t>
      </w:r>
      <w:r>
        <w:rPr>
          <w:rFonts w:hint="eastAsia" w:ascii="仿宋_GB2312" w:eastAsia="仿宋_GB2312"/>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pacing w:line="360" w:lineRule="auto"/>
        <w:jc w:val="center"/>
      </w:pPr>
    </w:p>
    <w:p>
      <w:pPr>
        <w:spacing w:line="360" w:lineRule="auto"/>
        <w:jc w:val="cente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rPr>
        <w:tab/>
      </w:r>
      <w:r>
        <w:rPr>
          <w:rFonts w:hint="eastAsia" w:ascii="黑体" w:hAnsi="黑体" w:eastAsia="黑体"/>
          <w:sz w:val="32"/>
          <w:szCs w:val="32"/>
        </w:rPr>
        <w:t>投标函</w:t>
      </w:r>
      <w:bookmarkStart w:id="3" w:name="_GoBack"/>
      <w:bookmarkEnd w:id="3"/>
    </w:p>
    <w:p>
      <w:pPr>
        <w:spacing w:line="520" w:lineRule="exact"/>
        <w:ind w:left="561" w:leftChars="267"/>
        <w:rPr>
          <w:rFonts w:ascii="仿宋_GB2312" w:eastAsia="仿宋_GB2312"/>
          <w:sz w:val="28"/>
          <w:szCs w:val="28"/>
        </w:rPr>
      </w:pPr>
      <w:r>
        <w:rPr>
          <w:rFonts w:hint="eastAsia" w:ascii="仿宋_GB2312" w:eastAsia="仿宋_GB2312"/>
          <w:sz w:val="28"/>
          <w:szCs w:val="28"/>
        </w:rPr>
        <w:t>根据江苏昆山农村商业银行股份有限公司业务发展的需求，现就江苏昆山农村商业银行股份有限公司采购</w:t>
      </w:r>
      <w:r>
        <w:rPr>
          <w:rFonts w:hint="eastAsia" w:ascii="仿宋_GB2312" w:eastAsia="仿宋_GB2312"/>
          <w:sz w:val="28"/>
          <w:szCs w:val="28"/>
          <w:u w:val="single"/>
        </w:rPr>
        <w:t>老款银医通自助设备维保服务</w:t>
      </w:r>
      <w:r>
        <w:rPr>
          <w:rFonts w:hint="eastAsia" w:ascii="仿宋_GB2312" w:eastAsia="仿宋_GB2312"/>
          <w:sz w:val="28"/>
          <w:szCs w:val="28"/>
        </w:rPr>
        <w:t>进行招标：</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1、招标编号：WJLX2024-11</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2、招标人：江苏昆山农村商业银行股份有限公司</w:t>
      </w:r>
    </w:p>
    <w:p>
      <w:pPr>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3、招标内容：昆山农村商业银行</w:t>
      </w:r>
      <w:r>
        <w:rPr>
          <w:rFonts w:hint="eastAsia" w:ascii="仿宋_GB2312" w:eastAsia="仿宋_GB2312"/>
          <w:sz w:val="28"/>
          <w:szCs w:val="28"/>
          <w:u w:val="single"/>
        </w:rPr>
        <w:t>老款银医通自助设备维保服务</w:t>
      </w:r>
    </w:p>
    <w:p>
      <w:pPr>
        <w:spacing w:line="520" w:lineRule="exact"/>
        <w:ind w:firstLine="560" w:firstLineChars="200"/>
        <w:jc w:val="left"/>
        <w:rPr>
          <w:rFonts w:ascii="仿宋_GB2312" w:hAnsi="宋体" w:eastAsia="仿宋_GB2312"/>
          <w:sz w:val="28"/>
        </w:rPr>
      </w:pPr>
      <w:r>
        <w:rPr>
          <w:rFonts w:hint="eastAsia" w:ascii="仿宋_GB2312" w:hAnsi="宋体" w:eastAsia="仿宋_GB2312"/>
          <w:sz w:val="28"/>
        </w:rPr>
        <w:t>4、项目实施地点：昆山</w:t>
      </w:r>
    </w:p>
    <w:p>
      <w:pPr>
        <w:spacing w:line="520" w:lineRule="exact"/>
        <w:ind w:firstLine="560" w:firstLineChars="200"/>
        <w:rPr>
          <w:rFonts w:ascii="仿宋_GB2312" w:hAnsi="宋体" w:eastAsia="仿宋_GB2312"/>
          <w:sz w:val="28"/>
        </w:rPr>
      </w:pPr>
      <w:r>
        <w:rPr>
          <w:rFonts w:hint="eastAsia" w:ascii="仿宋_GB2312" w:hAnsi="宋体" w:eastAsia="仿宋_GB2312"/>
          <w:color w:val="000000"/>
          <w:sz w:val="28"/>
          <w:szCs w:val="28"/>
        </w:rPr>
        <w:t>5</w:t>
      </w:r>
      <w:r>
        <w:rPr>
          <w:rFonts w:hint="eastAsia" w:ascii="仿宋_GB2312" w:hAnsi="宋体" w:eastAsia="仿宋_GB2312"/>
          <w:sz w:val="28"/>
        </w:rPr>
        <w:t>、发放标书时间：北京时间2024年06月11日</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6、投标截止时间：北京时间2024年07月01日17：00前将密封的投标文件寄（送）至昆山农村商业银行网络金融部（以我行收到日戳为准），逾期送达的投标文件将不予接受。</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7、开标时间、地点：另行通知</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8、招标人联系方式：江苏昆山农村商业银行股份有限公司</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地址：江苏省昆山市前进东路828号612网络金融部</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邮编：215301</w:t>
      </w:r>
    </w:p>
    <w:p>
      <w:pPr>
        <w:spacing w:line="600" w:lineRule="exact"/>
        <w:ind w:firstLine="567"/>
        <w:rPr>
          <w:rFonts w:ascii="仿宋_GB2312" w:hAnsi="宋体" w:eastAsia="仿宋_GB2312"/>
          <w:sz w:val="28"/>
        </w:rPr>
      </w:pPr>
      <w:r>
        <w:rPr>
          <w:rFonts w:hint="eastAsia" w:ascii="仿宋_GB2312" w:hAnsi="宋体" w:eastAsia="仿宋_GB2312"/>
          <w:sz w:val="28"/>
        </w:rPr>
        <w:t>项目联系人：</w:t>
      </w:r>
      <w:r>
        <w:rPr>
          <w:rFonts w:hint="eastAsia" w:ascii="仿宋_GB2312" w:eastAsia="仿宋_GB2312"/>
          <w:sz w:val="28"/>
          <w:szCs w:val="28"/>
        </w:rPr>
        <w:t>张女士</w:t>
      </w:r>
      <w:r>
        <w:rPr>
          <w:rFonts w:hint="eastAsia" w:ascii="仿宋_GB2312" w:eastAsia="仿宋_GB2312"/>
          <w:sz w:val="28"/>
          <w:szCs w:val="28"/>
        </w:rPr>
        <w:tab/>
      </w:r>
    </w:p>
    <w:p>
      <w:pPr>
        <w:spacing w:line="600" w:lineRule="exact"/>
        <w:ind w:firstLine="567"/>
        <w:rPr>
          <w:rFonts w:ascii="仿宋_GB2312" w:hAnsi="宋体" w:eastAsia="仿宋_GB2312"/>
          <w:sz w:val="28"/>
        </w:rPr>
      </w:pPr>
      <w:r>
        <w:rPr>
          <w:rFonts w:hint="eastAsia" w:ascii="仿宋_GB2312" w:hAnsi="宋体" w:eastAsia="仿宋_GB2312"/>
          <w:sz w:val="28"/>
        </w:rPr>
        <w:t>联系电话：</w:t>
      </w:r>
      <w:r>
        <w:rPr>
          <w:rFonts w:ascii="仿宋_GB2312" w:hAnsi="宋体" w:eastAsia="仿宋_GB2312"/>
          <w:sz w:val="28"/>
        </w:rPr>
        <w:t>0512-5737</w:t>
      </w:r>
      <w:r>
        <w:rPr>
          <w:rFonts w:hint="eastAsia" w:ascii="仿宋_GB2312" w:hAnsi="宋体" w:eastAsia="仿宋_GB2312"/>
          <w:sz w:val="28"/>
        </w:rPr>
        <w:t>1610</w:t>
      </w:r>
    </w:p>
    <w:p>
      <w:pPr>
        <w:spacing w:line="360" w:lineRule="auto"/>
        <w:ind w:firstLine="560" w:firstLineChars="200"/>
        <w:rPr>
          <w:rFonts w:ascii="仿宋_GB2312" w:hAnsi="宋体" w:eastAsia="仿宋_GB2312"/>
          <w:sz w:val="28"/>
        </w:rPr>
      </w:pPr>
    </w:p>
    <w:p>
      <w:pPr>
        <w:pStyle w:val="2"/>
        <w:rPr>
          <w:rFonts w:ascii="仿宋_GB2312" w:hAnsi="宋体" w:eastAsia="仿宋_GB2312"/>
          <w:sz w:val="28"/>
        </w:rPr>
      </w:pPr>
    </w:p>
    <w:p>
      <w:pPr>
        <w:pStyle w:val="2"/>
        <w:rPr>
          <w:rFonts w:ascii="仿宋_GB2312" w:hAnsi="宋体" w:eastAsia="仿宋_GB2312"/>
          <w:sz w:val="28"/>
        </w:rPr>
      </w:pP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*标书包装封面请备注项目联系人及联系电话。</w:t>
      </w:r>
    </w:p>
    <w:p>
      <w:pPr>
        <w:pStyle w:val="3"/>
        <w:keepNext w:val="0"/>
        <w:keepLines w:val="0"/>
        <w:numPr>
          <w:ilvl w:val="0"/>
          <w:numId w:val="1"/>
        </w:numPr>
        <w:jc w:val="center"/>
        <w:rPr>
          <w:rFonts w:ascii="黑体" w:hAnsi="黑体" w:eastAsia="黑体"/>
          <w:sz w:val="32"/>
          <w:szCs w:val="32"/>
        </w:rPr>
      </w:pPr>
      <w:r>
        <w:rPr>
          <w:rFonts w:hint="eastAsia" w:ascii="黑体" w:hAnsi="黑体" w:eastAsia="黑体"/>
          <w:sz w:val="32"/>
          <w:szCs w:val="32"/>
        </w:rPr>
        <w:t>招标内容及要求</w:t>
      </w:r>
    </w:p>
    <w:p>
      <w:pPr>
        <w:spacing w:line="560" w:lineRule="exact"/>
        <w:rPr>
          <w:rFonts w:ascii="仿宋_GB2312" w:hAnsi="宋体" w:eastAsia="仿宋_GB2312"/>
          <w:b/>
          <w:sz w:val="28"/>
        </w:rPr>
      </w:pPr>
      <w:r>
        <w:rPr>
          <w:rFonts w:hint="eastAsia" w:ascii="仿宋_GB2312" w:hAnsi="宋体" w:eastAsia="仿宋_GB2312"/>
          <w:b/>
          <w:sz w:val="28"/>
        </w:rPr>
        <w:t>一、基本要求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1、本标书第二部分“招标内容及要求”都将作为以后项目合同的基本要求。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2、如投标服务不能完全达到招标方所要求的，投标文件对此必须明确标示，否则视为废标。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3、投标人应保证向招标方提供的服务或产品与任何第三方发生的专利权、版权和使用权纠纷完全由投标方自行负责而与招标方无关；投标方应承诺对因以上纠纷给招标方造成的损失承担赔偿责任。</w:t>
      </w:r>
    </w:p>
    <w:p>
      <w:pPr>
        <w:spacing w:line="560" w:lineRule="exact"/>
        <w:rPr>
          <w:rFonts w:ascii="仿宋_GB2312" w:hAnsi="宋体" w:eastAsia="仿宋_GB2312"/>
          <w:b/>
          <w:sz w:val="28"/>
        </w:rPr>
      </w:pPr>
      <w:r>
        <w:rPr>
          <w:rFonts w:hint="eastAsia" w:ascii="仿宋_GB2312" w:hAnsi="宋体" w:eastAsia="仿宋_GB2312"/>
          <w:b/>
          <w:sz w:val="28"/>
        </w:rPr>
        <w:t>二、投标人范围</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投标人应符合本标书第三部分招标说明及附件中的相关要求和条件。</w:t>
      </w:r>
    </w:p>
    <w:p>
      <w:pPr>
        <w:spacing w:line="560" w:lineRule="exact"/>
        <w:rPr>
          <w:rFonts w:ascii="仿宋_GB2312" w:hAnsi="宋体" w:eastAsia="仿宋_GB2312"/>
          <w:b/>
          <w:sz w:val="28"/>
        </w:rPr>
      </w:pPr>
      <w:r>
        <w:rPr>
          <w:rFonts w:hint="eastAsia" w:ascii="仿宋_GB2312" w:hAnsi="宋体" w:eastAsia="仿宋_GB2312"/>
          <w:b/>
          <w:sz w:val="28"/>
        </w:rPr>
        <w:t>三、招标需求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（一）采购内容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目前我行铺设在昆山区域各合作医疗机构的老款银医通自助设备使用年限均已达5年以上，为确保设备的正常使用，保障银医通项目的顺利运行，本次拟以框架协议的形式采购老款银医通自助设备的维保服务。</w:t>
      </w:r>
    </w:p>
    <w:p>
      <w:pPr>
        <w:spacing w:line="560" w:lineRule="exact"/>
        <w:ind w:firstLine="560" w:firstLineChars="200"/>
        <w:rPr>
          <w:rFonts w:ascii="仿宋_GB2312" w:hAnsi="宋体" w:eastAsia="仿宋_GB2312"/>
          <w:sz w:val="28"/>
        </w:rPr>
      </w:pPr>
      <w:r>
        <w:rPr>
          <w:rFonts w:hint="eastAsia" w:ascii="仿宋_GB2312" w:hAnsi="宋体" w:eastAsia="仿宋_GB2312"/>
          <w:snapToGrid w:val="0"/>
          <w:color w:val="000000" w:themeColor="text1"/>
          <w:sz w:val="28"/>
          <w:szCs w:val="28"/>
          <w14:textFill>
            <w14:solidFill>
              <w14:schemeClr w14:val="tx1"/>
            </w14:solidFill>
          </w14:textFill>
        </w:rPr>
        <w:t>1、维保机器型号、数量</w:t>
      </w:r>
    </w:p>
    <w:tbl>
      <w:tblPr>
        <w:tblStyle w:val="13"/>
        <w:tblW w:w="8016" w:type="dxa"/>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313"/>
        <w:gridCol w:w="2693"/>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21" w:type="dxa"/>
            <w:vAlign w:val="center"/>
          </w:tcPr>
          <w:p>
            <w:pPr>
              <w:spacing w:line="360" w:lineRule="exact"/>
              <w:jc w:val="center"/>
              <w:rPr>
                <w:rFonts w:ascii="仿宋" w:hAnsi="仿宋" w:eastAsia="仿宋" w:cs="仿宋"/>
                <w:b/>
                <w:sz w:val="28"/>
                <w:szCs w:val="28"/>
              </w:rPr>
            </w:pPr>
            <w:r>
              <w:rPr>
                <w:rFonts w:hint="eastAsia" w:ascii="仿宋" w:hAnsi="仿宋" w:eastAsia="仿宋" w:cs="仿宋"/>
                <w:b/>
                <w:sz w:val="28"/>
                <w:szCs w:val="28"/>
              </w:rPr>
              <w:t>序号</w:t>
            </w:r>
          </w:p>
        </w:tc>
        <w:tc>
          <w:tcPr>
            <w:tcW w:w="2313" w:type="dxa"/>
            <w:vAlign w:val="center"/>
          </w:tcPr>
          <w:p>
            <w:pPr>
              <w:spacing w:line="360" w:lineRule="exact"/>
              <w:jc w:val="center"/>
              <w:rPr>
                <w:rFonts w:ascii="仿宋" w:hAnsi="仿宋" w:eastAsia="仿宋" w:cs="仿宋"/>
                <w:b/>
                <w:sz w:val="28"/>
                <w:szCs w:val="28"/>
              </w:rPr>
            </w:pPr>
            <w:r>
              <w:rPr>
                <w:rFonts w:hint="eastAsia" w:ascii="仿宋" w:hAnsi="仿宋" w:eastAsia="仿宋" w:cs="仿宋"/>
                <w:b/>
                <w:sz w:val="28"/>
                <w:szCs w:val="28"/>
              </w:rPr>
              <w:t>维保机器型号</w:t>
            </w:r>
          </w:p>
        </w:tc>
        <w:tc>
          <w:tcPr>
            <w:tcW w:w="2693" w:type="dxa"/>
            <w:vAlign w:val="center"/>
          </w:tcPr>
          <w:p>
            <w:pPr>
              <w:spacing w:line="360" w:lineRule="exact"/>
              <w:jc w:val="center"/>
              <w:rPr>
                <w:rFonts w:ascii="仿宋" w:hAnsi="仿宋" w:eastAsia="仿宋" w:cs="仿宋"/>
                <w:b/>
                <w:sz w:val="28"/>
                <w:szCs w:val="28"/>
              </w:rPr>
            </w:pPr>
            <w:r>
              <w:rPr>
                <w:rFonts w:hint="eastAsia" w:ascii="仿宋" w:hAnsi="仿宋" w:eastAsia="仿宋" w:cs="仿宋"/>
                <w:b/>
                <w:sz w:val="28"/>
                <w:szCs w:val="28"/>
              </w:rPr>
              <w:t>预计维保数量（台）</w:t>
            </w:r>
          </w:p>
        </w:tc>
        <w:tc>
          <w:tcPr>
            <w:tcW w:w="2089" w:type="dxa"/>
            <w:vAlign w:val="center"/>
          </w:tcPr>
          <w:p>
            <w:pPr>
              <w:spacing w:line="360" w:lineRule="exact"/>
              <w:jc w:val="center"/>
              <w:rPr>
                <w:rFonts w:ascii="仿宋" w:hAnsi="仿宋" w:eastAsia="仿宋" w:cs="仿宋"/>
                <w:b/>
                <w:sz w:val="28"/>
                <w:szCs w:val="28"/>
              </w:rPr>
            </w:pPr>
            <w:r>
              <w:rPr>
                <w:rFonts w:hint="eastAsia" w:ascii="仿宋" w:hAnsi="仿宋" w:eastAsia="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21"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w:t>
            </w:r>
          </w:p>
        </w:tc>
        <w:tc>
          <w:tcPr>
            <w:tcW w:w="231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ZT2078-A00</w:t>
            </w:r>
            <w:r>
              <w:rPr>
                <w:rFonts w:ascii="仿宋" w:hAnsi="仿宋" w:eastAsia="仿宋" w:cs="仿宋"/>
                <w:sz w:val="28"/>
                <w:szCs w:val="28"/>
              </w:rPr>
              <w:t xml:space="preserve"> </w:t>
            </w:r>
          </w:p>
        </w:tc>
        <w:tc>
          <w:tcPr>
            <w:tcW w:w="269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76</w:t>
            </w:r>
          </w:p>
        </w:tc>
        <w:tc>
          <w:tcPr>
            <w:tcW w:w="2089" w:type="dxa"/>
            <w:vAlign w:val="center"/>
          </w:tcPr>
          <w:p>
            <w:pPr>
              <w:spacing w:line="3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21"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2</w:t>
            </w:r>
          </w:p>
        </w:tc>
        <w:tc>
          <w:tcPr>
            <w:tcW w:w="231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ZT2078-B00</w:t>
            </w:r>
            <w:r>
              <w:rPr>
                <w:rFonts w:ascii="仿宋" w:hAnsi="仿宋" w:eastAsia="仿宋" w:cs="仿宋"/>
                <w:sz w:val="28"/>
                <w:szCs w:val="28"/>
              </w:rPr>
              <w:t xml:space="preserve"> </w:t>
            </w:r>
          </w:p>
        </w:tc>
        <w:tc>
          <w:tcPr>
            <w:tcW w:w="269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16</w:t>
            </w:r>
          </w:p>
        </w:tc>
        <w:tc>
          <w:tcPr>
            <w:tcW w:w="2089" w:type="dxa"/>
            <w:vAlign w:val="center"/>
          </w:tcPr>
          <w:p>
            <w:pPr>
              <w:spacing w:line="3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21"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3</w:t>
            </w:r>
          </w:p>
        </w:tc>
        <w:tc>
          <w:tcPr>
            <w:tcW w:w="231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NEU-MG008</w:t>
            </w:r>
            <w:r>
              <w:rPr>
                <w:rFonts w:ascii="仿宋" w:hAnsi="仿宋" w:eastAsia="仿宋" w:cs="仿宋"/>
                <w:sz w:val="28"/>
                <w:szCs w:val="28"/>
              </w:rPr>
              <w:t xml:space="preserve"> </w:t>
            </w:r>
          </w:p>
        </w:tc>
        <w:tc>
          <w:tcPr>
            <w:tcW w:w="269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35</w:t>
            </w:r>
          </w:p>
        </w:tc>
        <w:tc>
          <w:tcPr>
            <w:tcW w:w="2089" w:type="dxa"/>
            <w:vAlign w:val="center"/>
          </w:tcPr>
          <w:p>
            <w:pPr>
              <w:spacing w:line="3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21"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4</w:t>
            </w:r>
          </w:p>
        </w:tc>
        <w:tc>
          <w:tcPr>
            <w:tcW w:w="231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NEU-MG009</w:t>
            </w:r>
            <w:r>
              <w:rPr>
                <w:rFonts w:ascii="仿宋" w:hAnsi="仿宋" w:eastAsia="仿宋" w:cs="仿宋"/>
                <w:sz w:val="28"/>
                <w:szCs w:val="28"/>
              </w:rPr>
              <w:t xml:space="preserve"> </w:t>
            </w:r>
          </w:p>
        </w:tc>
        <w:tc>
          <w:tcPr>
            <w:tcW w:w="2693" w:type="dxa"/>
            <w:vAlign w:val="center"/>
          </w:tcPr>
          <w:p>
            <w:pPr>
              <w:spacing w:line="360" w:lineRule="exact"/>
              <w:jc w:val="center"/>
              <w:rPr>
                <w:rFonts w:ascii="仿宋" w:hAnsi="仿宋" w:eastAsia="仿宋" w:cs="仿宋"/>
                <w:sz w:val="28"/>
                <w:szCs w:val="28"/>
              </w:rPr>
            </w:pPr>
            <w:r>
              <w:rPr>
                <w:rFonts w:hint="eastAsia" w:ascii="仿宋" w:hAnsi="仿宋" w:eastAsia="仿宋" w:cs="仿宋"/>
                <w:sz w:val="28"/>
                <w:szCs w:val="28"/>
              </w:rPr>
              <w:t>2</w:t>
            </w:r>
          </w:p>
        </w:tc>
        <w:tc>
          <w:tcPr>
            <w:tcW w:w="2089" w:type="dxa"/>
            <w:vAlign w:val="center"/>
          </w:tcPr>
          <w:p>
            <w:pPr>
              <w:spacing w:line="360" w:lineRule="exact"/>
              <w:jc w:val="center"/>
              <w:rPr>
                <w:rFonts w:ascii="仿宋" w:hAnsi="仿宋" w:eastAsia="仿宋" w:cs="仿宋"/>
                <w:sz w:val="28"/>
                <w:szCs w:val="28"/>
              </w:rPr>
            </w:pPr>
          </w:p>
        </w:tc>
      </w:tr>
    </w:tbl>
    <w:p>
      <w:pPr>
        <w:pStyle w:val="23"/>
        <w:spacing w:line="360" w:lineRule="auto"/>
        <w:ind w:firstLine="560"/>
        <w:jc w:val="left"/>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以上预计维保数量仅供投标人报价参考，</w:t>
      </w:r>
      <w:r>
        <w:rPr>
          <w:rFonts w:hint="eastAsia" w:ascii="仿宋_GB2312" w:hAnsi="宋体" w:eastAsia="仿宋_GB2312"/>
          <w:color w:val="000000" w:themeColor="text1"/>
          <w:sz w:val="28"/>
          <w:szCs w:val="28"/>
          <w14:textFill>
            <w14:solidFill>
              <w14:schemeClr w14:val="tx1"/>
            </w14:solidFill>
          </w14:textFill>
        </w:rPr>
        <w:t>最终以中标单价金额进行合同签订，</w:t>
      </w:r>
      <w:r>
        <w:rPr>
          <w:rFonts w:hint="eastAsia" w:ascii="仿宋_GB2312" w:hAnsi="宋体" w:eastAsia="仿宋_GB2312"/>
          <w:snapToGrid w:val="0"/>
          <w:color w:val="000000" w:themeColor="text1"/>
          <w:sz w:val="28"/>
          <w:szCs w:val="28"/>
          <w14:textFill>
            <w14:solidFill>
              <w14:schemeClr w14:val="tx1"/>
            </w14:solidFill>
          </w14:textFill>
        </w:rPr>
        <w:t>招标人在合约期内将根据实际业务需求向中标方下单维保机器数量，对合约期内实际下单维保机器数量不作具体承诺。</w:t>
      </w:r>
    </w:p>
    <w:p>
      <w:pPr>
        <w:pStyle w:val="23"/>
        <w:spacing w:line="360" w:lineRule="auto"/>
        <w:ind w:firstLine="560"/>
        <w:jc w:val="left"/>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2、维保地点：招标人银医通项目合作医院（昆山范围内）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（二）维保服务具体要求：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1、技术支持服务: 供应商应提供7*24小时电话技术支持服务和咨询服务。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2、现场维修服务：电话支持不能排除故障时,工程师应携带有关备件提供现场维修服务。现场维修工程师须如实填写维修记录表，并经医院方（使用方）签字盖章确认。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3、系统升级服务：供应商应免费提供操作系统、防病毒软件等系统安装升级服务，且应保证介质无病毒、木马等有害程序；在设备软件升级改造增加新功能时，供应商应负责提供技术支持。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5、定期向行方提交设备运行情况及分析报告,内容包括:运行情况及维修情况,故障部件及老化部件更换情况,对设备管理的建议等内容。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6、供应商应定期提供规范的专业技术培训，至少每半年1次，使行方现场维服人员了解和掌握设备的性能和操作，并能解决设备的常见问题。</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供应商应以100台设备至少配备一名维护工程师为最低标准提供相应的维保服务。所配备维护工程师须与供应商具有劳动合同关系，供应商不得将我行的设备维护工作通过转包或授权的方式交由第三方承担，我方有权对维护工程师的相关信息进行核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8、其他</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（1）供应商应在设备移机时提供现场支持服务。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（2）供应商应建立完善的设备档案制度，使设备在使用、保养、维护等方面始终处于受控状态，保证行方能及时了解每台设备的使用情况。</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（3）供应商应协助行方完善设备的操作管理规程，健全设备管理制度。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（4）供应商应建立意见反馈渠道，对行方及合作医院（使用方）提出的意见及时处理解决及反馈。</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（三）注意事项：</w:t>
      </w:r>
    </w:p>
    <w:p>
      <w:pPr>
        <w:pStyle w:val="23"/>
        <w:spacing w:line="360" w:lineRule="auto"/>
        <w:ind w:firstLine="560"/>
        <w:jc w:val="left"/>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投标人必须具备独立完成本项目的能力，各投标人须在投标前进行调研，了解项目情况及详细需求。投标人应承担前期调研的责任和风险，投标人中标后，不得以不完全了解现场情况为由而向招标人提出任何索赔，对此招标人不承担任何责任并将不作任何答复与考虑。</w:t>
      </w:r>
    </w:p>
    <w:p>
      <w:pPr>
        <w:pStyle w:val="23"/>
        <w:spacing w:line="360" w:lineRule="auto"/>
        <w:ind w:firstLine="560"/>
        <w:jc w:val="left"/>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2、合同生效后中标方必须在15日内完成服务交接。</w:t>
      </w:r>
    </w:p>
    <w:p>
      <w:pPr>
        <w:pStyle w:val="2"/>
        <w:rPr>
          <w:rFonts w:ascii="黑体" w:hAnsi="宋体" w:eastAsia="黑体"/>
          <w:color w:val="FF0000"/>
          <w:sz w:val="32"/>
          <w:szCs w:val="32"/>
        </w:rPr>
      </w:pPr>
    </w:p>
    <w:p>
      <w:pPr>
        <w:pStyle w:val="2"/>
        <w:rPr>
          <w:rFonts w:ascii="黑体" w:hAnsi="宋体" w:eastAsia="黑体"/>
          <w:color w:val="FF0000"/>
          <w:sz w:val="32"/>
          <w:szCs w:val="32"/>
        </w:rPr>
      </w:pPr>
    </w:p>
    <w:p>
      <w:pPr>
        <w:pStyle w:val="2"/>
        <w:rPr>
          <w:rFonts w:ascii="黑体" w:hAnsi="宋体" w:eastAsia="黑体"/>
          <w:color w:val="FF0000"/>
          <w:sz w:val="32"/>
          <w:szCs w:val="32"/>
        </w:rPr>
      </w:pPr>
    </w:p>
    <w:p>
      <w:pPr>
        <w:pStyle w:val="2"/>
        <w:rPr>
          <w:rFonts w:ascii="黑体" w:hAnsi="宋体" w:eastAsia="黑体"/>
          <w:color w:val="FF0000"/>
          <w:sz w:val="32"/>
          <w:szCs w:val="32"/>
        </w:rPr>
      </w:pPr>
    </w:p>
    <w:p>
      <w:pPr>
        <w:pStyle w:val="3"/>
        <w:keepNext w:val="0"/>
        <w:keepLines w:val="0"/>
        <w:jc w:val="center"/>
        <w:rPr>
          <w:rFonts w:ascii="黑体" w:hAnsi="黑体" w:eastAsia="黑体"/>
          <w:snapToGrid w:val="0"/>
          <w:sz w:val="32"/>
          <w:szCs w:val="32"/>
        </w:rPr>
      </w:pPr>
      <w:r>
        <w:rPr>
          <w:rFonts w:hint="eastAsia" w:ascii="黑体" w:hAnsi="黑体" w:eastAsia="黑体"/>
          <w:snapToGrid w:val="0"/>
          <w:sz w:val="32"/>
          <w:szCs w:val="32"/>
        </w:rPr>
        <w:t>第三部分</w:t>
      </w:r>
      <w:r>
        <w:rPr>
          <w:rFonts w:hint="eastAsia" w:ascii="黑体" w:hAnsi="黑体" w:eastAsia="黑体"/>
          <w:snapToGrid w:val="0"/>
          <w:sz w:val="32"/>
          <w:szCs w:val="32"/>
        </w:rPr>
        <w:tab/>
      </w:r>
      <w:r>
        <w:rPr>
          <w:rFonts w:hint="eastAsia" w:ascii="黑体" w:hAnsi="黑体" w:eastAsia="黑体"/>
          <w:snapToGrid w:val="0"/>
          <w:sz w:val="32"/>
          <w:szCs w:val="32"/>
        </w:rPr>
        <w:t>招标说明</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napToGrid w:val="0"/>
          <w:color w:val="000000"/>
          <w:kern w:val="0"/>
          <w:sz w:val="28"/>
          <w:szCs w:val="28"/>
        </w:rPr>
        <w:t>一</w:t>
      </w:r>
      <w:r>
        <w:rPr>
          <w:rFonts w:hint="eastAsia" w:ascii="仿宋" w:hAnsi="仿宋" w:eastAsia="仿宋"/>
          <w:sz w:val="28"/>
          <w:szCs w:val="28"/>
        </w:rPr>
        <w:t>、总体说明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（一）适用范围</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本招标文件仅适用于江苏昆山农村商业银行股份有限公司（以下简称“昆山农商银行”）采购而进行的公开招标。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（二）定义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1、“招标人”系指组织本次招标的招标机构：昆山农商银行；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2、“投标人”系指遵守招标文件要求并向招标人提交投标文件的法人单位；</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3、“设备（系统）”系指投标人按招标文件规定，须向招标人提供的设备、软件系统、备品备件、工具、手册及其他有关技术资料和材料；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4、“服务”系指招标文件规定投标人须承担的技术服务、运输、安装调试、人员培训、售后服务和其他类似的义务；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5、“招标文件”系指本文件及其附件，如招标人对招标文件及其附件进行有效的修改或澄清，则该修改和澄清构成招标文件不可分割的一部分；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7、“无效的投标文件”系指属于下列情况之一者，将作为无效处理：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1）投标文件未按招标文件的要求密封；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投标文件未盖公章或未经法定代表人（或授权代理人）签字；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3）投标文件未按招标文件规定的格式、内容和要求填写；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4）在投标文件截止期后送达或是通过电报、电话、电传、传真投标文件；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5）投标文件字迹模糊不清无法辨认的；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6）投标人在投标文件中提供虚假信息的；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7）投标文件未送达指定地点，指定接收人。</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（三）对投标人的要求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 xml:space="preserve">1、投标人须具有独立企业法人资格，具有合法名称、组织机构、固定的办公场所，注册资本不低于500万元人民币，注册时间不少于5年。 </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2、投标人须具有良好的银行资信和商业信誉，没有违法、违约记录，不处于被责令停业，财产被接管、冻结、破产等非正常经营状态。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3、江苏、上海地区之外投标人需在江苏地区有正式的分支机构或有派驻在江苏地区的维保团队。</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4、投标人须具备近三年内（2021年1月至今），2个及以上（含2个）银行自助终端硬件设备类服务案例，能够提供加盖公章的服务合同作为佐证。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5、投标人须具有良好的经济和技术实力，能够安排维护工程师常驻本地（昆山范围内）负责本项目，及时提供招标人要求的优质服务。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6、本项目不接受联合第三方共同投标，否则取消投标资格，不允许中标后将本招标分包、转包。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（四）投标费用</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投标人应自行承担与参加投标有关的全部费用，招标人在任何情况下无义务和责任承担上述费用。</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（五）招标文件的解释及咨询</w:t>
      </w:r>
    </w:p>
    <w:p>
      <w:pPr>
        <w:spacing w:line="560" w:lineRule="exact"/>
        <w:ind w:firstLine="840" w:firstLineChars="300"/>
        <w:rPr>
          <w:rFonts w:ascii="仿宋_GB2312" w:hAnsi="宋体" w:eastAsia="仿宋_GB2312"/>
          <w:sz w:val="28"/>
        </w:rPr>
      </w:pPr>
      <w:r>
        <w:rPr>
          <w:rFonts w:hint="eastAsia" w:ascii="仿宋_GB2312" w:hAnsi="宋体" w:eastAsia="仿宋_GB2312"/>
          <w:sz w:val="28"/>
        </w:rPr>
        <w:t>本招标文件的解释权属招标人，对本次招标有任何询问，请与昆山农商银行本次招标联系人联系。</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二、招标文件说明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（一）是否限价招标</w:t>
      </w:r>
    </w:p>
    <w:p>
      <w:pPr>
        <w:spacing w:line="560" w:lineRule="exact"/>
        <w:ind w:firstLine="560" w:firstLineChars="200"/>
        <w:rPr>
          <w:rFonts w:ascii="仿宋_GB2312" w:hAnsi="宋体" w:eastAsia="仿宋_GB2312"/>
          <w:sz w:val="28"/>
        </w:rPr>
      </w:pPr>
      <w:r>
        <w:rPr>
          <w:rFonts w:hint="eastAsia" w:ascii="MS Mincho" w:hAnsi="MS Mincho" w:eastAsia="MS Mincho" w:cs="MS Mincho"/>
          <w:color w:val="000000" w:themeColor="text1"/>
          <w:sz w:val="28"/>
          <w14:textFill>
            <w14:solidFill>
              <w14:schemeClr w14:val="tx1"/>
            </w14:solidFill>
          </w14:textFill>
        </w:rPr>
        <w:t>☑</w:t>
      </w:r>
      <w:r>
        <w:rPr>
          <w:rFonts w:ascii="仿宋_GB2312" w:hAnsi="宋体" w:eastAsia="仿宋_GB2312"/>
          <w:sz w:val="28"/>
        </w:rPr>
        <w:t xml:space="preserve"> 是        最高限价</w:t>
      </w:r>
      <w:r>
        <w:rPr>
          <w:rFonts w:ascii="仿宋_GB2312" w:hAnsi="宋体" w:eastAsia="仿宋_GB2312"/>
          <w:sz w:val="28"/>
          <w:u w:val="single"/>
        </w:rPr>
        <w:t xml:space="preserve">   </w:t>
      </w:r>
      <w:r>
        <w:rPr>
          <w:rFonts w:hint="eastAsia" w:ascii="仿宋_GB2312" w:hAnsi="宋体" w:eastAsia="仿宋_GB2312"/>
          <w:sz w:val="28"/>
          <w:u w:val="single"/>
        </w:rPr>
        <w:t>190000</w:t>
      </w:r>
      <w:r>
        <w:rPr>
          <w:rFonts w:ascii="仿宋_GB2312" w:hAnsi="宋体" w:eastAsia="仿宋_GB2312"/>
          <w:sz w:val="28"/>
          <w:u w:val="single"/>
        </w:rPr>
        <w:t xml:space="preserve">   </w:t>
      </w:r>
      <w:r>
        <w:rPr>
          <w:rFonts w:hint="eastAsia" w:ascii="仿宋_GB2312" w:hAnsi="宋体" w:eastAsia="仿宋_GB2312"/>
          <w:sz w:val="28"/>
        </w:rPr>
        <w:t>（元）</w:t>
      </w:r>
      <w:r>
        <w:rPr>
          <w:rFonts w:ascii="仿宋_GB2312" w:hAnsi="宋体" w:eastAsia="仿宋_GB2312"/>
          <w:sz w:val="28"/>
        </w:rPr>
        <w:t xml:space="preserve">          </w:t>
      </w:r>
      <w:r>
        <w:rPr>
          <w:rFonts w:hint="eastAsia" w:ascii="仿宋_GB2312" w:hAnsi="仿宋" w:eastAsia="仿宋_GB2312"/>
          <w:color w:val="000000" w:themeColor="text1"/>
          <w:sz w:val="28"/>
          <w14:textFill>
            <w14:solidFill>
              <w14:schemeClr w14:val="tx1"/>
            </w14:solidFill>
          </w14:textFill>
        </w:rPr>
        <w:sym w:font="Wingdings" w:char="00A8"/>
      </w:r>
      <w:r>
        <w:rPr>
          <w:rFonts w:hint="eastAsia" w:ascii="宋体" w:hAnsi="宋体"/>
          <w:sz w:val="28"/>
        </w:rPr>
        <w:t>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（二）项目实施时间、地点和方式</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实施时间：合同签订后1个月内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实施地点：招标人银医通项目合作医院（昆山范围内）</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实施方式：现场实施</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（三）合同款的支付条件、时间和支付方式</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合同签订后，在合约期内以实际下单维保设备数量按年度结算，先提供服务后付款。服务期满后，以银行转账形式支付服务费用。</w:t>
      </w:r>
    </w:p>
    <w:p>
      <w:pPr>
        <w:numPr>
          <w:ilvl w:val="0"/>
          <w:numId w:val="2"/>
        </w:numPr>
        <w:spacing w:line="560" w:lineRule="exact"/>
        <w:ind w:firstLine="560" w:firstLineChars="200"/>
        <w:rPr>
          <w:rFonts w:ascii="仿宋_GB2312" w:hAnsi="宋体" w:eastAsia="仿宋_GB2312"/>
          <w:sz w:val="28"/>
        </w:rPr>
      </w:pPr>
      <w:r>
        <w:rPr>
          <w:rFonts w:hint="eastAsia" w:ascii="仿宋_GB2312" w:hAnsi="宋体" w:eastAsia="仿宋_GB2312"/>
          <w:sz w:val="28"/>
        </w:rPr>
        <w:t>评标方法、评标标准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以供应商对物品项的最低有效报价确定该物品项的中选候选人。</w:t>
      </w:r>
      <w:r>
        <w:rPr>
          <w:rFonts w:hint="eastAsia" w:ascii="仿宋_GB2312" w:hAnsi="宋体" w:eastAsia="仿宋_GB2312"/>
          <w:color w:val="000000" w:themeColor="text1"/>
          <w:sz w:val="28"/>
          <w:szCs w:val="28"/>
          <w14:textFill>
            <w14:solidFill>
              <w14:schemeClr w14:val="tx1"/>
            </w14:solidFill>
          </w14:textFill>
        </w:rPr>
        <w:t>如供应商有效最低报价相同且其他优惠条件相同，则抽签选择中标候选供应商。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（五）拟签订的合同文本</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详见第四部分附件</w:t>
      </w:r>
      <w:r>
        <w:rPr>
          <w:rFonts w:ascii="仿宋_GB2312" w:hAnsi="宋体" w:eastAsia="仿宋_GB2312"/>
          <w:sz w:val="28"/>
        </w:rPr>
        <w:t>5</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（六）其他说明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三、投标文件说明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1、投标人应仔细阅读招标文件的所有内容，按招标文件的要求提供投标文件，并保证所提供的全部资料的真实性，以使其投标对招标文件作出实质性响应，否则其投标可能被拒绝；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2、除非有特殊要求，招标文件不单独提供招标设备（系统）或服务使用地的自然环境、气候条件、公用设施等情况，投标人被视为熟悉上述情况。</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（二）投标文件的组成</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投标文件应包括但不限于下列所列文件：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1、法定代表人身份证明或法定代表人授权委托书（法定代表人参加投标，不用此委托书）。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必须按照本招标文件第四部分附件的格式要求制作，未经招标人书面同意，该格式不允许作任何修改。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3、投标价格一览表（须另装，详见“投标文件的签署及规定”）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应包括投标报价、维护承诺、其他重要补充事项等内容。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4、服务内容描述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投标人必须对“招标项目要求”逐个或分块地作出实质性响应，其响应应与招标文件内容采用相同的顺序，对每个需求的响应必须遵循如下规则：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1）重复该需求；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2）用“是/否”来表明该需求是否被满足；</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3）简要描述如何满足该需求，如果该响应在投标文件其他部分有详述，可在该处简单应答，但必须给出确切的位置索引；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4）解释投标文件或投标方案与招标项目需求之间的偏差，用数量来表示的需求，必须用确切的数量单位来响应。</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5、项目实施计划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应根据对项目需求的理解，提出详细、切实可行的项目实施计划及方案。</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应说明售后服务的内容、形式、收费标准；维护单位名称、地点、人员；服务响应时间等，并应包含免费维护期及期外的售后服务计划。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7、投标人情况简介</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应包含投标人基本情况与背景资料、业务经营情况、最近三年类似相关项目实施情况、及投标人最新的经过审计的财务报表、相关内控制度及连续性方案等。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8、投标人资格证明文件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1）投标人营业执照复印件；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2）若分公司参加投标的，需总公司的正式授权书（即签订合同只与有法人资格的公司签订）；</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3）生产厂商授权函；</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4）其他相关资格证明文件。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9、供应商反腐败/反贿赂承诺书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必须按照本招标文件第四部分附件6的格式要求制作，未经招标人书面同意，该格式不允许作任何修改。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10、其他</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1）投标方实施其它银行此产品案例的合同复印件或加盖单位公章的产品定单；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2）投标人自愿提供的其他全部文件；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3）优惠条款的说明等。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准备一份正本、二份副本、一份电子档，正副本及电子档均不含报价单，另装一份密封投标报价单。在每一份投标文件上要明确注明“正本”、“副本”、“电子档”、“报价单”字样，若正本和副本有差异以正本为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 xml:space="preserve">2、投标文件正本、副本、报价单须统一用A4纸打印装订并由投标人法定代表人或授权代理人在正本封面上签章处签字并加盖公章、骑缝章； </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3、投标文件须标注页码，封面后的第一页为标书的目录，整本标书须标注统一的页码，成功案例合同等复印件可以手工填上统一的页码；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4、除投标人对错漏处作必要修改外，投标文件中不许有加行、涂抹或改写。如有修改错漏处，必须由投标人法定代表人或授权代理人签字并加盖公章。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四、投标文件的递交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（一）投标文件的密封和递交</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sz w:val="28"/>
        </w:rPr>
        <w:t>1、投标人应将投标文件的正、副本、报价单和电子档分别用非透明文件袋密封，在封签处加盖公章，并标明投标人名称、正本（或副本、报价单、电子档）招标编号、</w:t>
      </w:r>
      <w:r>
        <w:rPr>
          <w:rFonts w:hint="eastAsia" w:ascii="仿宋_GB2312" w:hAnsi="宋体" w:eastAsia="仿宋_GB2312"/>
          <w:color w:val="000000" w:themeColor="text1"/>
          <w:sz w:val="28"/>
          <w14:textFill>
            <w14:solidFill>
              <w14:schemeClr w14:val="tx1"/>
            </w14:solidFill>
          </w14:textFill>
        </w:rPr>
        <w:t>投标项目名称、联系人及联系方式</w:t>
      </w:r>
      <w:r>
        <w:rPr>
          <w:rFonts w:hint="eastAsia" w:ascii="仿宋_GB2312" w:hAnsi="宋体" w:eastAsia="仿宋_GB2312"/>
          <w:sz w:val="28"/>
        </w:rPr>
        <w:t>；</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2、每一密封袋上注明“于开标前不准启封”的字样；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3、投标价格表及其它各种承诺均须有法定代表人（或其委托的全权代表人）的签字、日期并加盖公章。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（二）投标文件的修改和撤回</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2、投标人对投标文件进行补充、修改的书面材料或撤回的通知应按本招标文件规定进行编写、密封、标注和递送，并注明“补充/修改投标文件”或“撤回投标”字样；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3、投标截止时间以后不得对投标文件进行修改或补充。</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五、开标和评标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（一）开标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此次招标采用：本行评标专家组进行现场开标、评标。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（二）评标因素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1、招标人根据具体招标项目分类对每一个投标条件进行比较。对其内容进行分析比较：</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1）投标价格；</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2）投标方整体实力及成功案例总数；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3）投标方技术方案、成功案例分析及产品特制设计；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4）投标方技术实力（研发人员、售后服务能力）；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5）投标方的资信情况和履约能力；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6）投标方提供的其他优惠条件。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（三）投标文件的审查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1、开标后，招标人将组织审查投标文件是否完整，是否有计算错误，文件是否恰当地签署；</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2、在对投标文件进行详细评估之前，招标人将依据投标人提供的资格证明文件审查投标人的财务、技术和生产能力。如果确定投标人无能力提供设备（系统）和技术支持，其投标将被拒绝；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3、招标人将确定每一投标是否对招标文件的要求作出了实质性的响应，而没有明显的偏离或保留；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4、招标人判断投标文件的响应性仅基于投标文件本身而不靠外部证据；</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5、招标人将拒绝被确定为非实质性响应的投标，投标人不能通过修正或撤销不符之处而使其投标成为实质性响应的投标。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（四）投标文件的澄清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2、澄清应是书面的，并由法定代表人或其授权代理人签字；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3、投标人的澄清文件是投标文件的组成部分，并取代投标文件中被澄清的部分；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4、投标文件的澄清不得对投标内容进行实质性修改。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（五）评标工作</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1、招标人将按照公开、公平、公正的原则对待所有投标方；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评标是招标工作的重要环节，评标工作在招标人内独立进行；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3、招标人不承诺报价最低者为中标者；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4、在投标、开标期间，投标人不得向招标人询问情况，不得进行旨在影响评标结果的活动，招标人保留对投标人进行疑问咨询的权力；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5、在投标、评标过程中，如有投标人联合故意抬高报价或其他不正当行为，招标人有权中止投标或评标；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6、江苏昆山农村商业银行股份有限公司保留对本次招标的最终解释权。</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六、中标与签署合同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（一）定标原则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招标人不承诺向投标方披露招标过程中任何细节，包括中标或落标原因。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1.定标后，招标人将发出中标通知；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2.对落标的投标人不再另行发出落标通知；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3.中标通知将作为招标人与中标人签订合同的依据之一。</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（三）签订合同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1、招标人将按照招标文件和投标人的投标文件与中标人签订书面合同，签订合同之前，双方需对合同的具体细节进行商谈。</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2、招标人对有关内容有权作出必要的细化和补充，但有关细化和补充不得背离招标文件和投标文件的实质性内容。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3、招标文件、中标方的投标文件及其澄清文件等，均为签订合同的依据。</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4、投标人同意按招标人的要求签定相关合同，</w:t>
      </w:r>
      <w:r>
        <w:rPr>
          <w:rFonts w:hint="eastAsia" w:ascii="仿宋_GB2312" w:hAnsi="宋体" w:eastAsia="仿宋_GB2312" w:cs="仿宋_GB2312"/>
          <w:sz w:val="28"/>
          <w:szCs w:val="28"/>
        </w:rPr>
        <w:t>具体内容以实际签订的合同内容为准。</w:t>
      </w:r>
    </w:p>
    <w:p>
      <w:pPr>
        <w:spacing w:line="360" w:lineRule="auto"/>
        <w:ind w:firstLine="560" w:firstLineChars="200"/>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第四部分</w:t>
      </w:r>
      <w:r>
        <w:rPr>
          <w:rFonts w:hint="eastAsia" w:ascii="黑体" w:hAnsi="黑体" w:eastAsia="黑体"/>
          <w:sz w:val="32"/>
          <w:szCs w:val="32"/>
        </w:rPr>
        <w:tab/>
      </w:r>
      <w:r>
        <w:rPr>
          <w:rFonts w:hint="eastAsia" w:ascii="黑体" w:hAnsi="黑体" w:eastAsia="黑体"/>
          <w:sz w:val="32"/>
          <w:szCs w:val="32"/>
        </w:rPr>
        <w:t>投标文件格式</w:t>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附件1：《投标书》</w:t>
      </w:r>
    </w:p>
    <w:p>
      <w:pPr>
        <w:pStyle w:val="7"/>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标</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书</w:t>
      </w:r>
    </w:p>
    <w:p>
      <w:pPr>
        <w:pStyle w:val="7"/>
        <w:adjustRightInd w:val="0"/>
        <w:rPr>
          <w:rFonts w:ascii="仿宋_GB2312" w:hAnsi="宋体" w:eastAsia="仿宋_GB2312"/>
          <w:b/>
          <w:snapToGrid w:val="0"/>
          <w:color w:val="000000"/>
          <w:sz w:val="28"/>
          <w:szCs w:val="28"/>
        </w:rPr>
      </w:pPr>
    </w:p>
    <w:p>
      <w:pPr>
        <w:pStyle w:val="7"/>
        <w:adjustRightInd w:val="0"/>
        <w:rPr>
          <w:rFonts w:ascii="仿宋_GB2312" w:hAnsi="宋体" w:eastAsia="仿宋_GB2312"/>
          <w:sz w:val="28"/>
        </w:rPr>
      </w:pPr>
      <w:r>
        <w:rPr>
          <w:rFonts w:ascii="仿宋_GB2312" w:hAnsi="宋体" w:eastAsia="仿宋_GB2312"/>
          <w:sz w:val="28"/>
        </w:rPr>
        <w:t>致：江苏</w:t>
      </w:r>
      <w:r>
        <w:rPr>
          <w:rFonts w:hint="eastAsia" w:ascii="仿宋_GB2312" w:hAnsi="宋体" w:eastAsia="仿宋_GB2312"/>
          <w:sz w:val="28"/>
        </w:rPr>
        <w:t>昆山</w:t>
      </w:r>
      <w:r>
        <w:rPr>
          <w:rFonts w:ascii="仿宋_GB2312" w:hAnsi="宋体" w:eastAsia="仿宋_GB2312"/>
          <w:sz w:val="28"/>
        </w:rPr>
        <w:t>农村商业银行股份有限公司</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根据贵方       招标书，投标人              （投标人名称）提供相关文件并做出以下承诺：</w:t>
      </w:r>
    </w:p>
    <w:p>
      <w:pPr>
        <w:numPr>
          <w:ilvl w:val="0"/>
          <w:numId w:val="3"/>
        </w:num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招标文件规定的全部文件正本一份，副本二份，电子文档一份、报价单一份。</w:t>
      </w:r>
    </w:p>
    <w:p>
      <w:pPr>
        <w:autoSpaceDE w:val="0"/>
        <w:autoSpaceDN w:val="0"/>
        <w:adjustRightInd w:val="0"/>
        <w:ind w:firstLine="560" w:firstLineChars="200"/>
        <w:jc w:val="left"/>
        <w:rPr>
          <w:rFonts w:ascii="仿宋_GB2312" w:hAnsi="宋体" w:eastAsia="仿宋_GB2312"/>
          <w:sz w:val="28"/>
        </w:rPr>
      </w:pPr>
      <w:r>
        <w:rPr>
          <w:rFonts w:hint="eastAsia" w:ascii="仿宋_GB2312" w:hAnsi="宋体" w:eastAsia="仿宋_GB2312"/>
          <w:sz w:val="28"/>
        </w:rPr>
        <w:t>二、投标人同意如下：</w:t>
      </w:r>
    </w:p>
    <w:p>
      <w:pPr>
        <w:adjustRightInd w:val="0"/>
        <w:ind w:firstLine="700" w:firstLineChars="250"/>
        <w:rPr>
          <w:rFonts w:ascii="仿宋_GB2312" w:hAnsi="宋体" w:eastAsia="仿宋_GB2312"/>
          <w:sz w:val="28"/>
        </w:rPr>
      </w:pPr>
      <w:r>
        <w:rPr>
          <w:rFonts w:hint="eastAsia" w:ascii="仿宋_GB2312" w:hAnsi="宋体" w:eastAsia="仿宋_GB2312"/>
          <w:sz w:val="28"/>
        </w:rPr>
        <w:t>1．投标人完全接受招标文件中的内容，并将按招标文件的规定履行义务，按相关法律法规履行投标人的全部责任；</w:t>
      </w:r>
    </w:p>
    <w:p>
      <w:pPr>
        <w:adjustRightInd w:val="0"/>
        <w:ind w:firstLine="700" w:firstLineChars="250"/>
        <w:rPr>
          <w:rFonts w:ascii="仿宋_GB2312" w:hAnsi="宋体" w:eastAsia="仿宋_GB2312"/>
          <w:sz w:val="28"/>
        </w:rPr>
      </w:pPr>
      <w:r>
        <w:rPr>
          <w:rFonts w:hint="eastAsia" w:ascii="仿宋_GB2312" w:hAnsi="宋体" w:eastAsia="仿宋_GB2312"/>
          <w:sz w:val="28"/>
        </w:rPr>
        <w:t>2.投标人己详细审查全部招标文件，包括修改文件以及全部参考资料和有关附件，无其他不明事项；</w:t>
      </w:r>
    </w:p>
    <w:p>
      <w:pPr>
        <w:adjustRightInd w:val="0"/>
        <w:ind w:firstLine="700" w:firstLineChars="250"/>
        <w:rPr>
          <w:rFonts w:ascii="仿宋_GB2312" w:hAnsi="宋体" w:eastAsia="仿宋_GB2312"/>
          <w:sz w:val="28"/>
        </w:rPr>
      </w:pPr>
      <w:r>
        <w:rPr>
          <w:rFonts w:hint="eastAsia" w:ascii="仿宋_GB2312" w:hAnsi="宋体" w:eastAsia="仿宋_GB2312"/>
          <w:sz w:val="28"/>
        </w:rPr>
        <w:t>3.投标人同意招标人要求的相关数据或资料，完全理解招标人在招标文件中确定的评标原则和程序，理解贵方不一定要接受最低报价的投标。</w:t>
      </w:r>
    </w:p>
    <w:p>
      <w:pPr>
        <w:adjustRightInd w:val="0"/>
        <w:ind w:firstLine="700" w:firstLineChars="250"/>
        <w:rPr>
          <w:rFonts w:ascii="仿宋_GB2312" w:hAnsi="宋体" w:eastAsia="仿宋_GB2312"/>
          <w:sz w:val="28"/>
        </w:rPr>
      </w:pPr>
      <w:r>
        <w:rPr>
          <w:rFonts w:hint="eastAsia" w:ascii="仿宋_GB2312" w:hAnsi="宋体" w:eastAsia="仿宋_GB2312"/>
          <w:sz w:val="28"/>
        </w:rPr>
        <w:t>三、投标方保证投标文件中所有关于投标资格的文件，证明陈述均是真实的、准确的。若有违背，投标方愿意承担由此而产生的一切后果。</w:t>
      </w:r>
    </w:p>
    <w:p>
      <w:pPr>
        <w:adjustRightInd w:val="0"/>
        <w:ind w:firstLine="624"/>
        <w:rPr>
          <w:rFonts w:ascii="仿宋_GB2312" w:hAnsi="宋体" w:eastAsia="仿宋_GB2312"/>
          <w:sz w:val="28"/>
        </w:rPr>
      </w:pPr>
      <w:r>
        <w:rPr>
          <w:rFonts w:hint="eastAsia" w:ascii="仿宋_GB2312" w:hAnsi="宋体" w:eastAsia="仿宋_GB2312"/>
          <w:sz w:val="28"/>
        </w:rPr>
        <w:t>与本投标有关的一切正式信函请使用以下地址：</w:t>
      </w:r>
    </w:p>
    <w:p>
      <w:pPr>
        <w:pStyle w:val="7"/>
        <w:adjustRightInd w:val="0"/>
        <w:ind w:firstLine="624"/>
        <w:rPr>
          <w:rFonts w:ascii="仿宋_GB2312" w:hAnsi="宋体" w:eastAsia="仿宋_GB2312"/>
          <w:sz w:val="28"/>
        </w:rPr>
      </w:pPr>
      <w:r>
        <w:rPr>
          <w:rFonts w:ascii="仿宋_GB2312" w:hAnsi="宋体" w:eastAsia="仿宋_GB2312"/>
          <w:sz w:val="28"/>
        </w:rPr>
        <w:t xml:space="preserve">地址：                           </w:t>
      </w:r>
    </w:p>
    <w:p>
      <w:pPr>
        <w:pStyle w:val="7"/>
        <w:adjustRightInd w:val="0"/>
        <w:ind w:firstLine="624"/>
        <w:rPr>
          <w:rFonts w:ascii="仿宋_GB2312" w:hAnsi="宋体" w:eastAsia="仿宋_GB2312"/>
          <w:sz w:val="28"/>
        </w:rPr>
      </w:pPr>
      <w:r>
        <w:rPr>
          <w:rFonts w:ascii="仿宋_GB2312" w:hAnsi="宋体" w:eastAsia="仿宋_GB2312"/>
          <w:sz w:val="28"/>
        </w:rPr>
        <w:t xml:space="preserve">邮编：                           </w:t>
      </w:r>
    </w:p>
    <w:p>
      <w:pPr>
        <w:pStyle w:val="7"/>
        <w:adjustRightInd w:val="0"/>
        <w:ind w:firstLine="624"/>
        <w:rPr>
          <w:rFonts w:ascii="仿宋_GB2312" w:hAnsi="宋体" w:eastAsia="仿宋_GB2312"/>
          <w:sz w:val="28"/>
        </w:rPr>
      </w:pPr>
      <w:r>
        <w:rPr>
          <w:rFonts w:ascii="仿宋_GB2312" w:hAnsi="宋体" w:eastAsia="仿宋_GB2312"/>
          <w:sz w:val="28"/>
        </w:rPr>
        <w:t xml:space="preserve">电话：                           </w:t>
      </w:r>
    </w:p>
    <w:p>
      <w:pPr>
        <w:pStyle w:val="7"/>
        <w:adjustRightInd w:val="0"/>
        <w:ind w:firstLine="624"/>
        <w:rPr>
          <w:rFonts w:ascii="仿宋_GB2312" w:hAnsi="宋体" w:eastAsia="仿宋_GB2312"/>
          <w:sz w:val="28"/>
        </w:rPr>
      </w:pPr>
      <w:r>
        <w:rPr>
          <w:rFonts w:ascii="仿宋_GB2312" w:hAnsi="宋体" w:eastAsia="仿宋_GB2312"/>
          <w:sz w:val="28"/>
        </w:rPr>
        <w:t xml:space="preserve">传真：                           </w:t>
      </w:r>
    </w:p>
    <w:p>
      <w:pPr>
        <w:pStyle w:val="7"/>
        <w:adjustRightInd w:val="0"/>
        <w:ind w:firstLine="624"/>
        <w:rPr>
          <w:rFonts w:ascii="仿宋_GB2312" w:hAnsi="宋体" w:eastAsia="仿宋_GB2312"/>
          <w:sz w:val="28"/>
        </w:rPr>
      </w:pPr>
      <w:r>
        <w:rPr>
          <w:rFonts w:ascii="仿宋_GB2312" w:hAnsi="宋体" w:eastAsia="仿宋_GB2312"/>
          <w:sz w:val="28"/>
        </w:rPr>
        <w:t xml:space="preserve">投标人法定代表人姓名、职务（印刷体）：             </w:t>
      </w:r>
    </w:p>
    <w:p>
      <w:pPr>
        <w:pStyle w:val="7"/>
        <w:adjustRightInd w:val="0"/>
        <w:ind w:firstLine="624"/>
        <w:rPr>
          <w:rFonts w:ascii="仿宋_GB2312" w:hAnsi="宋体" w:eastAsia="仿宋_GB2312"/>
          <w:sz w:val="28"/>
        </w:rPr>
      </w:pPr>
      <w:r>
        <w:rPr>
          <w:rFonts w:ascii="仿宋_GB2312" w:hAnsi="宋体" w:eastAsia="仿宋_GB2312"/>
          <w:sz w:val="28"/>
        </w:rPr>
        <w:t xml:space="preserve">投标人名称：                       </w:t>
      </w:r>
    </w:p>
    <w:p>
      <w:pPr>
        <w:pStyle w:val="7"/>
        <w:adjustRightInd w:val="0"/>
        <w:ind w:firstLine="624"/>
        <w:rPr>
          <w:rFonts w:ascii="仿宋_GB2312" w:hAnsi="宋体" w:eastAsia="仿宋_GB2312"/>
          <w:sz w:val="28"/>
        </w:rPr>
      </w:pPr>
      <w:r>
        <w:rPr>
          <w:rFonts w:ascii="仿宋_GB2312" w:hAnsi="宋体" w:eastAsia="仿宋_GB2312"/>
          <w:sz w:val="28"/>
        </w:rPr>
        <w:t xml:space="preserve">单位公章：                       </w:t>
      </w:r>
    </w:p>
    <w:p>
      <w:pPr>
        <w:pStyle w:val="7"/>
        <w:adjustRightInd w:val="0"/>
        <w:ind w:firstLine="624"/>
        <w:rPr>
          <w:rFonts w:ascii="仿宋_GB2312" w:hAnsi="宋体" w:eastAsia="仿宋_GB2312"/>
          <w:sz w:val="28"/>
        </w:rPr>
      </w:pPr>
      <w:r>
        <w:rPr>
          <w:rFonts w:ascii="仿宋_GB2312" w:hAnsi="宋体" w:eastAsia="仿宋_GB2312"/>
          <w:sz w:val="28"/>
        </w:rPr>
        <w:t xml:space="preserve">法定代表人或授权代理人签字：                    </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日期：      年     月     日</w:t>
      </w:r>
    </w:p>
    <w:p>
      <w:pPr>
        <w:snapToGrid w:val="0"/>
        <w:spacing w:line="360" w:lineRule="auto"/>
        <w:outlineLvl w:val="1"/>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附件2：《投标人情况简介》</w:t>
      </w:r>
    </w:p>
    <w:p>
      <w:pPr>
        <w:pStyle w:val="7"/>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投标人情况简介</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1.名称和概况</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投标人名称：</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地址：邮编：</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传真／电话：</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成立日期或注册日期：</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法定代表人或主要负责人姓名：</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2．财务数据</w:t>
      </w:r>
    </w:p>
    <w:p>
      <w:pPr>
        <w:pStyle w:val="7"/>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注册资本：</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3．业绩或服务的情况</w:t>
      </w:r>
    </w:p>
    <w:p>
      <w:pPr>
        <w:pStyle w:val="7"/>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年至今国内外主要用户的名称和地址： </w:t>
      </w:r>
    </w:p>
    <w:p>
      <w:pPr>
        <w:pStyle w:val="7"/>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本次投标或服务在国内金融行业的应用情况（如有的话）：</w:t>
      </w:r>
    </w:p>
    <w:p>
      <w:pPr>
        <w:pStyle w:val="7"/>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4.年至今投标人是否受到过监管机关的处罚？是否有重大涉诉法律纠纷？如有，请列明原因及相关情况。</w:t>
      </w:r>
    </w:p>
    <w:p>
      <w:pPr>
        <w:pStyle w:val="7"/>
        <w:tabs>
          <w:tab w:val="left" w:pos="360"/>
        </w:tabs>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5.所属集团（如有的话）：</w:t>
      </w:r>
    </w:p>
    <w:p>
      <w:pPr>
        <w:pStyle w:val="7"/>
        <w:tabs>
          <w:tab w:val="left" w:pos="360"/>
        </w:tabs>
        <w:adjustRightInd w:val="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6.其它情况</w:t>
      </w:r>
      <w:r>
        <w:rPr>
          <w:rFonts w:ascii="仿宋_GB2312" w:hAnsi="宋体" w:eastAsia="仿宋_GB2312"/>
          <w:snapToGrid w:val="0"/>
          <w:color w:val="000000"/>
          <w:sz w:val="28"/>
          <w:szCs w:val="28"/>
        </w:rPr>
        <w:t>（组织、机构、技术力量、参与本产品的实施人员情况等）</w:t>
      </w:r>
    </w:p>
    <w:p>
      <w:pPr>
        <w:snapToGrid w:val="0"/>
        <w:spacing w:line="360" w:lineRule="auto"/>
        <w:outlineLvl w:val="1"/>
        <w:rPr>
          <w:rFonts w:ascii="仿宋_GB2312" w:hAnsi="宋体" w:eastAsia="仿宋_GB2312"/>
          <w:color w:val="000000"/>
          <w:sz w:val="28"/>
          <w:szCs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附件3：《法定代表人委托书》</w:t>
      </w:r>
    </w:p>
    <w:p>
      <w:pPr>
        <w:tabs>
          <w:tab w:val="left" w:pos="8280"/>
        </w:tabs>
        <w:spacing w:line="360" w:lineRule="auto"/>
        <w:rPr>
          <w:rFonts w:ascii="仿宋_GB2312" w:eastAsia="仿宋_GB2312"/>
          <w:color w:val="000000"/>
          <w:sz w:val="28"/>
          <w:szCs w:val="28"/>
        </w:rPr>
      </w:pPr>
      <w:r>
        <w:rPr>
          <w:rFonts w:hint="eastAsia" w:ascii="仿宋_GB2312" w:hAnsi="宋体" w:eastAsia="仿宋_GB2312"/>
          <w:snapToGrid w:val="0"/>
          <w:color w:val="000000"/>
          <w:sz w:val="28"/>
        </w:rPr>
        <w:t>江苏昆山农村商业银行股份有限公司</w:t>
      </w:r>
      <w:r>
        <w:rPr>
          <w:rFonts w:hint="eastAsia" w:ascii="仿宋_GB2312" w:eastAsia="仿宋_GB2312"/>
          <w:color w:val="000000"/>
          <w:sz w:val="28"/>
          <w:szCs w:val="28"/>
        </w:rPr>
        <w:t>：</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兹委托</w:t>
      </w:r>
      <w:r>
        <w:rPr>
          <w:rFonts w:hint="eastAsia" w:ascii="仿宋_GB2312" w:eastAsia="仿宋_GB2312"/>
          <w:color w:val="000000"/>
          <w:sz w:val="28"/>
          <w:szCs w:val="28"/>
          <w:u w:val="single"/>
        </w:rPr>
        <w:t xml:space="preserve">         (代理人姓名)</w:t>
      </w:r>
      <w:r>
        <w:rPr>
          <w:rFonts w:hint="eastAsia" w:ascii="仿宋_GB2312" w:eastAsia="仿宋_GB2312"/>
          <w:color w:val="000000"/>
          <w:sz w:val="28"/>
          <w:szCs w:val="28"/>
        </w:rPr>
        <w:t>参加贵单位组织的招标活动，全权代表我单位处理投标的有关事宜。</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附全权代表情况：</w:t>
      </w:r>
    </w:p>
    <w:p>
      <w:pPr>
        <w:tabs>
          <w:tab w:val="left" w:pos="8280"/>
        </w:tabs>
        <w:spacing w:line="360" w:lineRule="auto"/>
        <w:ind w:firstLine="480"/>
        <w:rPr>
          <w:rFonts w:ascii="仿宋_GB2312" w:eastAsia="仿宋_GB2312"/>
          <w:color w:val="000000"/>
          <w:sz w:val="28"/>
          <w:szCs w:val="28"/>
          <w:u w:val="single"/>
        </w:rPr>
      </w:pPr>
      <w:r>
        <w:rPr>
          <w:rFonts w:hint="eastAsia" w:ascii="仿宋_GB2312" w:eastAsia="仿宋_GB2312"/>
          <w:color w:val="000000"/>
          <w:sz w:val="28"/>
          <w:szCs w:val="28"/>
        </w:rPr>
        <w:t xml:space="preserve"> 姓名： 性别：年龄：职务：</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身份证号码：</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详细通讯地址： </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电话：传真：</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邮政编码：</w:t>
      </w:r>
    </w:p>
    <w:p>
      <w:pPr>
        <w:tabs>
          <w:tab w:val="left" w:pos="8280"/>
        </w:tabs>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    单位名称（公章）                        法定代表人（签字）</w:t>
      </w:r>
    </w:p>
    <w:p>
      <w:pPr>
        <w:tabs>
          <w:tab w:val="left" w:pos="8280"/>
        </w:tabs>
        <w:spacing w:line="36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年   月   日                         年   月    日     </w:t>
      </w:r>
    </w:p>
    <w:p>
      <w:pPr>
        <w:tabs>
          <w:tab w:val="left" w:pos="8280"/>
        </w:tabs>
        <w:rPr>
          <w:rFonts w:ascii="仿宋_GB2312" w:hAnsi="宋体" w:eastAsia="仿宋_GB2312"/>
          <w:color w:val="000000"/>
          <w:sz w:val="28"/>
          <w:szCs w:val="28"/>
        </w:rPr>
      </w:pPr>
      <w:r>
        <w:rPr>
          <w:rFonts w:hint="eastAsia" w:ascii="仿宋_GB2312" w:eastAsia="仿宋_GB2312"/>
          <w:color w:val="000000"/>
          <w:sz w:val="28"/>
          <w:szCs w:val="28"/>
        </w:rPr>
        <w:t>（说明：法定代表人参加投标，不用此委托书）</w:t>
      </w:r>
    </w:p>
    <w:p>
      <w:p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eastAsia="仿宋_GB2312"/>
          <w:b/>
          <w:sz w:val="30"/>
          <w:szCs w:val="30"/>
          <w:u w:val="single"/>
        </w:rPr>
      </w:pPr>
      <w:r>
        <w:rPr>
          <w:rFonts w:hint="eastAsia" w:ascii="仿宋_GB2312" w:hAnsi="宋体" w:eastAsia="仿宋_GB2312"/>
          <w:color w:val="000000"/>
          <w:sz w:val="28"/>
          <w:szCs w:val="28"/>
        </w:rPr>
        <w:t>附件4：《投标价格一览表》</w:t>
      </w:r>
      <w:r>
        <w:rPr>
          <w:rFonts w:hint="eastAsia" w:ascii="仿宋" w:hAnsi="仿宋" w:eastAsia="仿宋"/>
          <w:sz w:val="28"/>
          <w:szCs w:val="28"/>
        </w:rPr>
        <w:t xml:space="preserve"> </w:t>
      </w:r>
    </w:p>
    <w:p>
      <w:pPr>
        <w:jc w:val="center"/>
        <w:rPr>
          <w:rFonts w:ascii="仿宋_GB2312" w:hAnsi="仿宋" w:eastAsia="仿宋_GB2312"/>
          <w:b/>
          <w:sz w:val="32"/>
          <w:szCs w:val="28"/>
        </w:rPr>
      </w:pPr>
      <w:r>
        <w:rPr>
          <w:rFonts w:hint="eastAsia" w:ascii="仿宋_GB2312" w:hAnsi="仿宋" w:eastAsia="仿宋_GB2312"/>
          <w:b/>
          <w:sz w:val="32"/>
          <w:szCs w:val="28"/>
        </w:rPr>
        <w:t>投标价格一览表</w:t>
      </w:r>
    </w:p>
    <w:p>
      <w:pPr>
        <w:rPr>
          <w:rFonts w:ascii="仿宋_GB2312" w:hAnsi="宋体" w:eastAsia="仿宋_GB2312"/>
          <w:sz w:val="28"/>
          <w:szCs w:val="28"/>
          <w:u w:val="single"/>
        </w:rPr>
      </w:pPr>
      <w:r>
        <w:rPr>
          <w:rFonts w:hint="eastAsia" w:ascii="仿宋_GB2312" w:hAnsi="宋体" w:eastAsia="仿宋_GB2312"/>
          <w:sz w:val="28"/>
          <w:szCs w:val="28"/>
        </w:rPr>
        <w:t>1、投标单位名称：</w:t>
      </w:r>
      <w:r>
        <w:rPr>
          <w:rFonts w:hint="eastAsia" w:ascii="仿宋_GB2312" w:hAnsi="宋体"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sz w:val="28"/>
          <w:szCs w:val="28"/>
        </w:rPr>
        <w:t>2、投标项目名称：</w:t>
      </w:r>
      <w:r>
        <w:rPr>
          <w:rFonts w:hint="eastAsia" w:ascii="仿宋_GB2312" w:eastAsia="仿宋_GB2312"/>
          <w:sz w:val="28"/>
          <w:szCs w:val="28"/>
          <w:u w:val="single"/>
        </w:rPr>
        <w:t xml:space="preserve">                               </w:t>
      </w:r>
    </w:p>
    <w:p>
      <w:pPr>
        <w:rPr>
          <w:rFonts w:ascii="仿宋_GB2312" w:hAnsi="宋体" w:eastAsia="仿宋_GB2312"/>
          <w:sz w:val="28"/>
          <w:szCs w:val="28"/>
        </w:rPr>
      </w:pPr>
      <w:r>
        <w:rPr>
          <w:rFonts w:hint="eastAsia" w:ascii="仿宋_GB2312" w:hAnsi="宋体" w:eastAsia="仿宋_GB2312"/>
          <w:sz w:val="28"/>
          <w:szCs w:val="28"/>
        </w:rPr>
        <w:t>3、本项目报价：</w:t>
      </w:r>
    </w:p>
    <w:tbl>
      <w:tblPr>
        <w:tblStyle w:val="14"/>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810"/>
        <w:gridCol w:w="237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序号</w:t>
            </w:r>
          </w:p>
        </w:tc>
        <w:tc>
          <w:tcPr>
            <w:tcW w:w="281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采购明细项</w:t>
            </w:r>
          </w:p>
        </w:tc>
        <w:tc>
          <w:tcPr>
            <w:tcW w:w="237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单价（元/台/年）</w:t>
            </w:r>
          </w:p>
        </w:tc>
        <w:tc>
          <w:tcPr>
            <w:tcW w:w="237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1</w:t>
            </w:r>
          </w:p>
        </w:tc>
        <w:tc>
          <w:tcPr>
            <w:tcW w:w="2810" w:type="dxa"/>
            <w:vAlign w:val="center"/>
          </w:tcPr>
          <w:p>
            <w:pPr>
              <w:spacing w:line="360" w:lineRule="exact"/>
              <w:jc w:val="center"/>
              <w:rPr>
                <w:rFonts w:ascii="仿宋" w:hAnsi="仿宋" w:eastAsia="仿宋" w:cs="仿宋"/>
                <w:kern w:val="0"/>
                <w:sz w:val="28"/>
                <w:szCs w:val="28"/>
              </w:rPr>
            </w:pPr>
            <w:r>
              <w:rPr>
                <w:rFonts w:hint="eastAsia" w:ascii="仿宋" w:hAnsi="仿宋" w:eastAsia="仿宋" w:cs="仿宋"/>
                <w:kern w:val="0"/>
                <w:sz w:val="28"/>
                <w:szCs w:val="28"/>
              </w:rPr>
              <w:t>ZT2078-A00维保</w:t>
            </w: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2</w:t>
            </w:r>
          </w:p>
        </w:tc>
        <w:tc>
          <w:tcPr>
            <w:tcW w:w="2810" w:type="dxa"/>
            <w:vAlign w:val="center"/>
          </w:tcPr>
          <w:p>
            <w:pPr>
              <w:spacing w:line="360" w:lineRule="exact"/>
              <w:jc w:val="center"/>
              <w:rPr>
                <w:rFonts w:ascii="仿宋" w:hAnsi="仿宋" w:eastAsia="仿宋" w:cs="仿宋"/>
                <w:kern w:val="0"/>
                <w:sz w:val="28"/>
                <w:szCs w:val="28"/>
              </w:rPr>
            </w:pPr>
            <w:r>
              <w:rPr>
                <w:rFonts w:hint="eastAsia" w:ascii="仿宋" w:hAnsi="仿宋" w:eastAsia="仿宋" w:cs="仿宋"/>
                <w:kern w:val="0"/>
                <w:sz w:val="28"/>
                <w:szCs w:val="28"/>
              </w:rPr>
              <w:t>ZT2078-B00维保</w:t>
            </w: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3</w:t>
            </w:r>
          </w:p>
        </w:tc>
        <w:tc>
          <w:tcPr>
            <w:tcW w:w="2810" w:type="dxa"/>
            <w:vAlign w:val="center"/>
          </w:tcPr>
          <w:p>
            <w:pPr>
              <w:spacing w:line="360" w:lineRule="exact"/>
              <w:jc w:val="center"/>
              <w:rPr>
                <w:rFonts w:ascii="仿宋" w:hAnsi="仿宋" w:eastAsia="仿宋" w:cs="仿宋"/>
                <w:kern w:val="0"/>
                <w:sz w:val="28"/>
                <w:szCs w:val="28"/>
              </w:rPr>
            </w:pPr>
            <w:r>
              <w:rPr>
                <w:rFonts w:hint="eastAsia" w:ascii="仿宋" w:hAnsi="仿宋" w:eastAsia="仿宋" w:cs="仿宋"/>
                <w:kern w:val="0"/>
                <w:sz w:val="28"/>
                <w:szCs w:val="28"/>
              </w:rPr>
              <w:t>NEU-MG008维保</w:t>
            </w: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4</w:t>
            </w:r>
          </w:p>
        </w:tc>
        <w:tc>
          <w:tcPr>
            <w:tcW w:w="2810" w:type="dxa"/>
            <w:vAlign w:val="center"/>
          </w:tcPr>
          <w:p>
            <w:pPr>
              <w:spacing w:line="360" w:lineRule="exact"/>
              <w:jc w:val="center"/>
              <w:rPr>
                <w:rFonts w:ascii="仿宋" w:hAnsi="仿宋" w:eastAsia="仿宋" w:cs="仿宋"/>
                <w:kern w:val="0"/>
                <w:sz w:val="28"/>
                <w:szCs w:val="28"/>
              </w:rPr>
            </w:pPr>
            <w:r>
              <w:rPr>
                <w:rFonts w:hint="eastAsia" w:ascii="仿宋" w:hAnsi="仿宋" w:eastAsia="仿宋" w:cs="仿宋"/>
                <w:kern w:val="0"/>
                <w:sz w:val="28"/>
                <w:szCs w:val="28"/>
              </w:rPr>
              <w:t>NEU-MG009维保</w:t>
            </w: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gridSpan w:val="2"/>
          </w:tcPr>
          <w:p>
            <w:pPr>
              <w:pStyle w:val="25"/>
              <w:spacing w:line="560" w:lineRule="exact"/>
              <w:ind w:firstLine="0" w:firstLineChars="0"/>
              <w:jc w:val="center"/>
              <w:rPr>
                <w:rFonts w:ascii="仿宋_GB2312" w:hAnsi="宋体" w:eastAsia="仿宋_GB2312"/>
                <w:color w:val="000000" w:themeColor="text1"/>
                <w:kern w:val="0"/>
                <w:sz w:val="28"/>
                <w:szCs w:val="28"/>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w:t>合计</w:t>
            </w: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c>
          <w:tcPr>
            <w:tcW w:w="2370" w:type="dxa"/>
          </w:tcPr>
          <w:p>
            <w:pPr>
              <w:pStyle w:val="25"/>
              <w:spacing w:line="560" w:lineRule="exact"/>
              <w:ind w:firstLine="560"/>
              <w:rPr>
                <w:rFonts w:ascii="仿宋_GB2312" w:hAnsi="宋体" w:eastAsia="仿宋_GB2312"/>
                <w:color w:val="000000" w:themeColor="text1"/>
                <w:kern w:val="0"/>
                <w:sz w:val="28"/>
                <w:szCs w:val="28"/>
                <w14:textFill>
                  <w14:solidFill>
                    <w14:schemeClr w14:val="tx1"/>
                  </w14:solidFill>
                </w14:textFill>
              </w:rPr>
            </w:pPr>
          </w:p>
        </w:tc>
      </w:tr>
    </w:tbl>
    <w:p>
      <w:pPr>
        <w:adjustRightInd w:val="0"/>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4、以上</w:t>
      </w:r>
      <w:r>
        <w:rPr>
          <w:rFonts w:hint="eastAsia" w:ascii="仿宋_GB2312" w:hAnsi="宋体" w:eastAsia="仿宋_GB2312"/>
          <w:color w:val="000000" w:themeColor="text1"/>
          <w:sz w:val="28"/>
          <w:szCs w:val="28"/>
          <w14:textFill>
            <w14:solidFill>
              <w14:schemeClr w14:val="tx1"/>
            </w14:solidFill>
          </w14:textFill>
        </w:rPr>
        <w:t>采购项均需报价，如不报价作无效处理。</w:t>
      </w:r>
    </w:p>
    <w:p>
      <w:pPr>
        <w:spacing w:line="360" w:lineRule="auto"/>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5、付款方式：合同签订后，在合约期内以实际下单维保设备数量按年度结算，先提供服务后付款。服务期满后，以银行转账形式支付服务费用。</w:t>
      </w:r>
    </w:p>
    <w:p>
      <w:pPr>
        <w:spacing w:line="360" w:lineRule="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6、其他优惠条件（如有请列明）</w:t>
      </w:r>
    </w:p>
    <w:p>
      <w:pPr>
        <w:spacing w:line="360" w:lineRule="auto"/>
        <w:jc w:val="left"/>
        <w:rPr>
          <w:rFonts w:ascii="黑体" w:hAnsi="黑体" w:eastAsia="黑体"/>
          <w:b/>
          <w:sz w:val="24"/>
          <w:szCs w:val="24"/>
        </w:rPr>
      </w:pPr>
      <w:r>
        <w:rPr>
          <w:rFonts w:hint="eastAsia" w:ascii="黑体" w:hAnsi="黑体" w:eastAsia="黑体"/>
          <w:b/>
          <w:sz w:val="24"/>
          <w:szCs w:val="24"/>
        </w:rPr>
        <w:t>备注：</w:t>
      </w:r>
    </w:p>
    <w:p>
      <w:pPr>
        <w:pStyle w:val="23"/>
        <w:spacing w:line="360" w:lineRule="auto"/>
        <w:ind w:firstLine="482"/>
        <w:jc w:val="left"/>
        <w:rPr>
          <w:rFonts w:ascii="黑体" w:hAnsi="黑体" w:eastAsia="黑体"/>
          <w:b/>
        </w:rPr>
      </w:pPr>
      <w:r>
        <w:rPr>
          <w:rFonts w:hint="eastAsia" w:ascii="黑体" w:hAnsi="黑体" w:eastAsia="黑体"/>
          <w:b/>
        </w:rPr>
        <w:t>本次报价包含本项目所有费用及供应商为项目实施而支付的交通、食宿、通讯、税费等全部费用，昆山农商银行不再另外支付与本项目有关的其他费用。</w:t>
      </w:r>
    </w:p>
    <w:p>
      <w:pPr>
        <w:ind w:left="1526" w:hanging="1526"/>
        <w:rPr>
          <w:rFonts w:ascii="黑体" w:hAnsi="黑体" w:eastAsia="黑体"/>
          <w:b/>
          <w:sz w:val="24"/>
          <w:szCs w:val="24"/>
        </w:rPr>
      </w:pPr>
      <w:r>
        <w:rPr>
          <w:rFonts w:hint="eastAsia" w:ascii="黑体" w:hAnsi="黑体" w:eastAsia="黑体"/>
          <w:b/>
          <w:sz w:val="24"/>
          <w:szCs w:val="24"/>
        </w:rPr>
        <w:t>（本表内未明确列述的项目费用应视为包括在项目费用总额之内）</w:t>
      </w:r>
    </w:p>
    <w:p>
      <w:pPr>
        <w:ind w:left="1526" w:hanging="1526"/>
        <w:rPr>
          <w:rFonts w:ascii="黑体" w:hAnsi="黑体" w:eastAsia="黑体"/>
          <w:b/>
          <w:sz w:val="24"/>
          <w:szCs w:val="24"/>
        </w:rPr>
      </w:pPr>
    </w:p>
    <w:p>
      <w:pPr>
        <w:rPr>
          <w:rFonts w:ascii="黑体" w:hAnsi="黑体" w:eastAsia="黑体"/>
          <w:b/>
          <w:sz w:val="28"/>
          <w:szCs w:val="28"/>
        </w:rPr>
      </w:pPr>
    </w:p>
    <w:p>
      <w:pPr>
        <w:adjustRightInd w:val="0"/>
        <w:spacing w:line="500" w:lineRule="exact"/>
        <w:rPr>
          <w:rFonts w:ascii="仿宋_GB2312" w:eastAsia="仿宋_GB2312"/>
          <w:snapToGrid w:val="0"/>
          <w:sz w:val="28"/>
          <w:szCs w:val="28"/>
        </w:rPr>
      </w:pPr>
      <w:r>
        <w:rPr>
          <w:rFonts w:hint="eastAsia" w:ascii="仿宋_GB2312" w:eastAsia="仿宋_GB2312"/>
          <w:snapToGrid w:val="0"/>
          <w:sz w:val="28"/>
          <w:szCs w:val="28"/>
        </w:rPr>
        <w:t>公司盖章：</w:t>
      </w:r>
    </w:p>
    <w:p>
      <w:pPr>
        <w:autoSpaceDE w:val="0"/>
        <w:autoSpaceDN w:val="0"/>
        <w:rPr>
          <w:rFonts w:ascii="仿宋_GB2312" w:eastAsia="仿宋_GB2312"/>
          <w:sz w:val="28"/>
          <w:szCs w:val="28"/>
        </w:rPr>
      </w:pPr>
      <w:r>
        <w:rPr>
          <w:rFonts w:hint="eastAsia" w:ascii="仿宋_GB2312" w:eastAsia="仿宋_GB2312"/>
          <w:sz w:val="28"/>
          <w:szCs w:val="28"/>
        </w:rPr>
        <w:t xml:space="preserve">法定代表人或其授权的代表签字：                 </w:t>
      </w:r>
    </w:p>
    <w:p>
      <w:pPr>
        <w:ind w:left="1526" w:hanging="1526"/>
        <w:rPr>
          <w:rFonts w:ascii="仿宋_GB2312" w:eastAsia="仿宋_GB2312"/>
          <w:sz w:val="28"/>
          <w:szCs w:val="28"/>
        </w:rPr>
      </w:pPr>
      <w:r>
        <w:rPr>
          <w:rFonts w:hint="eastAsia" w:ascii="仿宋_GB2312" w:eastAsia="仿宋_GB2312"/>
          <w:sz w:val="28"/>
          <w:szCs w:val="28"/>
        </w:rPr>
        <w:t xml:space="preserve">日 期：    </w:t>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附件5：拟签订的合同文本</w:t>
      </w:r>
      <w:bookmarkStart w:id="0" w:name="_Toc289849633"/>
    </w:p>
    <w:p>
      <w:pPr>
        <w:autoSpaceDE w:val="0"/>
        <w:autoSpaceDN w:val="0"/>
        <w:adjustRightInd w:val="0"/>
        <w:snapToGrid w:val="0"/>
        <w:spacing w:before="120" w:after="120" w:line="480" w:lineRule="exact"/>
        <w:jc w:val="center"/>
        <w:rPr>
          <w:rFonts w:ascii="仿宋" w:hAnsi="仿宋" w:eastAsia="仿宋" w:cs="仿宋_GB2312"/>
          <w:b/>
          <w:sz w:val="32"/>
          <w:szCs w:val="32"/>
        </w:rPr>
      </w:pPr>
      <w:r>
        <w:rPr>
          <w:rFonts w:hint="eastAsia" w:ascii="仿宋" w:hAnsi="仿宋" w:eastAsia="仿宋" w:cs="仿宋_GB2312"/>
          <w:b/>
          <w:sz w:val="32"/>
          <w:szCs w:val="32"/>
        </w:rPr>
        <w:t>老款银医通自助设备维保服务合同</w:t>
      </w:r>
      <w:bookmarkEnd w:id="0"/>
    </w:p>
    <w:p>
      <w:pPr>
        <w:pStyle w:val="2"/>
      </w:pPr>
    </w:p>
    <w:p>
      <w:pPr>
        <w:autoSpaceDE w:val="0"/>
        <w:autoSpaceDN w:val="0"/>
        <w:adjustRightInd w:val="0"/>
        <w:snapToGrid w:val="0"/>
        <w:spacing w:before="120" w:after="120" w:line="480" w:lineRule="exact"/>
        <w:rPr>
          <w:rFonts w:ascii="仿宋" w:hAnsi="仿宋" w:eastAsia="仿宋" w:cs="仿宋_GB2312"/>
          <w:sz w:val="28"/>
          <w:szCs w:val="28"/>
        </w:rPr>
      </w:pPr>
      <w:bookmarkStart w:id="1" w:name="_Toc469850083"/>
      <w:r>
        <w:rPr>
          <w:rFonts w:hint="eastAsia" w:ascii="仿宋" w:hAnsi="仿宋" w:eastAsia="仿宋" w:cs="仿宋_GB2312"/>
          <w:sz w:val="28"/>
          <w:szCs w:val="28"/>
        </w:rPr>
        <w:t>甲    方：江苏昆山农村商业银行股份有限公司</w:t>
      </w:r>
    </w:p>
    <w:p>
      <w:pPr>
        <w:autoSpaceDE w:val="0"/>
        <w:autoSpaceDN w:val="0"/>
        <w:adjustRightInd w:val="0"/>
        <w:snapToGrid w:val="0"/>
        <w:spacing w:before="120" w:after="120" w:line="480" w:lineRule="exact"/>
        <w:rPr>
          <w:rFonts w:ascii="仿宋" w:hAnsi="仿宋" w:eastAsia="仿宋" w:cs="仿宋_GB2312"/>
          <w:sz w:val="28"/>
          <w:szCs w:val="28"/>
        </w:rPr>
      </w:pPr>
      <w:r>
        <w:rPr>
          <w:rFonts w:hint="eastAsia" w:ascii="仿宋" w:hAnsi="仿宋" w:eastAsia="仿宋" w:cs="仿宋_GB2312"/>
          <w:sz w:val="28"/>
          <w:szCs w:val="28"/>
        </w:rPr>
        <w:t>联系地址：江苏省昆山市前进东路828号</w:t>
      </w:r>
    </w:p>
    <w:p>
      <w:pPr>
        <w:autoSpaceDE w:val="0"/>
        <w:autoSpaceDN w:val="0"/>
        <w:adjustRightInd w:val="0"/>
        <w:snapToGrid w:val="0"/>
        <w:spacing w:before="120" w:after="120" w:line="480" w:lineRule="exact"/>
        <w:rPr>
          <w:rFonts w:ascii="仿宋" w:hAnsi="仿宋" w:eastAsia="仿宋" w:cs="仿宋_GB2312"/>
          <w:sz w:val="28"/>
          <w:szCs w:val="28"/>
        </w:rPr>
      </w:pPr>
    </w:p>
    <w:bookmarkEnd w:id="1"/>
    <w:p>
      <w:pPr>
        <w:autoSpaceDE w:val="0"/>
        <w:autoSpaceDN w:val="0"/>
        <w:adjustRightInd w:val="0"/>
        <w:snapToGrid w:val="0"/>
        <w:spacing w:before="120" w:after="120" w:line="480" w:lineRule="exact"/>
        <w:rPr>
          <w:rFonts w:ascii="仿宋" w:hAnsi="仿宋" w:eastAsia="仿宋" w:cs="仿宋_GB2312"/>
          <w:sz w:val="28"/>
          <w:szCs w:val="28"/>
        </w:rPr>
      </w:pPr>
      <w:r>
        <w:rPr>
          <w:rFonts w:hint="eastAsia" w:ascii="仿宋" w:hAnsi="仿宋" w:eastAsia="仿宋" w:cs="仿宋_GB2312"/>
          <w:sz w:val="28"/>
          <w:szCs w:val="28"/>
        </w:rPr>
        <w:t>乙    方：</w:t>
      </w:r>
    </w:p>
    <w:p>
      <w:pPr>
        <w:autoSpaceDE w:val="0"/>
        <w:autoSpaceDN w:val="0"/>
        <w:adjustRightInd w:val="0"/>
        <w:snapToGrid w:val="0"/>
        <w:spacing w:before="120" w:after="120" w:line="480" w:lineRule="exact"/>
        <w:rPr>
          <w:rFonts w:ascii="仿宋" w:hAnsi="仿宋" w:eastAsia="仿宋" w:cs="仿宋_GB2312"/>
          <w:sz w:val="28"/>
          <w:szCs w:val="28"/>
        </w:rPr>
      </w:pPr>
      <w:r>
        <w:rPr>
          <w:rFonts w:hint="eastAsia" w:ascii="仿宋" w:hAnsi="仿宋" w:eastAsia="仿宋" w:cs="仿宋_GB2312"/>
          <w:sz w:val="28"/>
          <w:szCs w:val="28"/>
        </w:rPr>
        <w:t xml:space="preserve">联系地址： </w:t>
      </w:r>
    </w:p>
    <w:p>
      <w:pPr>
        <w:autoSpaceDE w:val="0"/>
        <w:autoSpaceDN w:val="0"/>
        <w:adjustRightInd w:val="0"/>
        <w:snapToGrid w:val="0"/>
        <w:spacing w:before="120" w:after="120" w:line="480" w:lineRule="exact"/>
        <w:rPr>
          <w:rFonts w:ascii="仿宋" w:hAnsi="仿宋" w:eastAsia="仿宋" w:cs="仿宋_GB2312"/>
          <w:sz w:val="28"/>
          <w:szCs w:val="28"/>
        </w:rPr>
      </w:pPr>
    </w:p>
    <w:p>
      <w:pPr>
        <w:autoSpaceDE w:val="0"/>
        <w:autoSpaceDN w:val="0"/>
        <w:adjustRightInd w:val="0"/>
        <w:snapToGrid w:val="0"/>
        <w:spacing w:before="120" w:after="120"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根据《中华人民共和国民法典》等法律法规的规定，甲乙双方本着平等互利的原则，现就乙方向甲方提供的老款银医通自助设备维保服务的相关事项，达成一致，订立本合同。</w:t>
      </w:r>
    </w:p>
    <w:p>
      <w:pPr>
        <w:autoSpaceDE w:val="0"/>
        <w:autoSpaceDN w:val="0"/>
        <w:adjustRightInd w:val="0"/>
        <w:snapToGrid w:val="0"/>
        <w:spacing w:before="120" w:after="120" w:line="480" w:lineRule="exact"/>
        <w:rPr>
          <w:rFonts w:ascii="仿宋" w:hAnsi="仿宋" w:eastAsia="仿宋" w:cs="仿宋_GB2312"/>
          <w:b/>
          <w:sz w:val="28"/>
          <w:szCs w:val="28"/>
        </w:rPr>
      </w:pPr>
      <w:r>
        <w:rPr>
          <w:rFonts w:hint="eastAsia" w:ascii="仿宋" w:hAnsi="仿宋" w:eastAsia="仿宋" w:cs="仿宋_GB2312"/>
          <w:b/>
          <w:sz w:val="28"/>
          <w:szCs w:val="28"/>
        </w:rPr>
        <w:t>一、定义</w:t>
      </w:r>
    </w:p>
    <w:p>
      <w:pPr>
        <w:autoSpaceDE w:val="0"/>
        <w:autoSpaceDN w:val="0"/>
        <w:adjustRightInd w:val="0"/>
        <w:snapToGrid w:val="0"/>
        <w:spacing w:before="120" w:after="120"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（一）“合同”是指本合同及其附件。</w:t>
      </w:r>
    </w:p>
    <w:p>
      <w:pPr>
        <w:autoSpaceDE w:val="0"/>
        <w:autoSpaceDN w:val="0"/>
        <w:adjustRightInd w:val="0"/>
        <w:snapToGrid w:val="0"/>
        <w:spacing w:before="120" w:after="120"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（二）“合同总价款”指人工服务费、运输、保险、备件、税收等保障甲方设备正常运行的一切费用的总和。</w:t>
      </w:r>
    </w:p>
    <w:p>
      <w:pPr>
        <w:autoSpaceDE w:val="0"/>
        <w:autoSpaceDN w:val="0"/>
        <w:adjustRightInd w:val="0"/>
        <w:snapToGrid w:val="0"/>
        <w:spacing w:before="120" w:after="120" w:line="480" w:lineRule="exact"/>
        <w:ind w:firstLine="560" w:firstLineChars="200"/>
        <w:rPr>
          <w:rFonts w:ascii="仿宋" w:hAnsi="仿宋" w:eastAsia="仿宋" w:cs="仿宋_GB2312"/>
          <w:sz w:val="28"/>
          <w:szCs w:val="28"/>
        </w:rPr>
      </w:pPr>
      <w:r>
        <w:rPr>
          <w:rFonts w:ascii="仿宋" w:hAnsi="仿宋" w:eastAsia="仿宋" w:cs="仿宋_GB2312"/>
          <w:sz w:val="28"/>
          <w:szCs w:val="28"/>
        </w:rPr>
        <w:t>（三）“服务”指根据合同规定，乙方应提供的有关维修保养服务、项目管理、培训、技术服务，及其它使设备正常运转所必需的服务等。</w:t>
      </w:r>
    </w:p>
    <w:p>
      <w:pPr>
        <w:autoSpaceDE w:val="0"/>
        <w:autoSpaceDN w:val="0"/>
        <w:adjustRightInd w:val="0"/>
        <w:snapToGrid w:val="0"/>
        <w:spacing w:before="120" w:after="120"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（四）除有特别说明外，“天”、“日”均指日历日。</w:t>
      </w:r>
    </w:p>
    <w:p>
      <w:pPr>
        <w:spacing w:line="480" w:lineRule="exact"/>
        <w:ind w:firstLine="542" w:firstLineChars="225"/>
        <w:rPr>
          <w:rFonts w:ascii="仿宋_GB2312" w:hAnsi="仿宋_GB2312" w:eastAsia="仿宋_GB2312" w:cs="仿宋_GB2312"/>
          <w:b/>
          <w:color w:val="000000"/>
          <w:sz w:val="24"/>
          <w:szCs w:val="24"/>
        </w:rPr>
      </w:pPr>
    </w:p>
    <w:p>
      <w:pPr>
        <w:rPr>
          <w:rFonts w:ascii="仿宋" w:hAnsi="仿宋" w:eastAsia="仿宋" w:cs="仿宋_GB2312"/>
          <w:b/>
          <w:color w:val="000000"/>
          <w:sz w:val="28"/>
          <w:szCs w:val="28"/>
        </w:rPr>
      </w:pPr>
      <w:r>
        <w:rPr>
          <w:rFonts w:hint="eastAsia" w:ascii="仿宋" w:hAnsi="仿宋" w:eastAsia="仿宋" w:cs="仿宋_GB2312"/>
          <w:b/>
          <w:color w:val="000000"/>
          <w:sz w:val="28"/>
          <w:szCs w:val="28"/>
        </w:rPr>
        <w:t>二、</w:t>
      </w:r>
      <w:r>
        <w:rPr>
          <w:rFonts w:hint="eastAsia" w:ascii="仿宋" w:hAnsi="仿宋" w:eastAsia="仿宋" w:cs="仿宋_GB2312"/>
          <w:b/>
          <w:sz w:val="28"/>
          <w:szCs w:val="28"/>
        </w:rPr>
        <w:t>采购内容</w:t>
      </w:r>
    </w:p>
    <w:p>
      <w:pPr>
        <w:pStyle w:val="11"/>
        <w:ind w:left="0" w:leftChars="0" w:firstLine="560" w:firstLineChars="200"/>
        <w:jc w:val="left"/>
        <w:rPr>
          <w:rFonts w:ascii="仿宋" w:hAnsi="仿宋" w:eastAsia="仿宋" w:cs="仿宋_GB2312"/>
          <w:sz w:val="28"/>
          <w:szCs w:val="28"/>
        </w:rPr>
      </w:pPr>
      <w:r>
        <w:rPr>
          <w:rFonts w:hint="eastAsia" w:ascii="仿宋" w:hAnsi="仿宋" w:eastAsia="仿宋" w:cs="仿宋_GB2312"/>
          <w:sz w:val="28"/>
          <w:szCs w:val="28"/>
        </w:rPr>
        <w:t>（一）维保服务费支付标准</w:t>
      </w:r>
    </w:p>
    <w:tbl>
      <w:tblPr>
        <w:tblStyle w:val="13"/>
        <w:tblW w:w="4479" w:type="pct"/>
        <w:jc w:val="center"/>
        <w:tblLayout w:type="autofit"/>
        <w:tblCellMar>
          <w:top w:w="0" w:type="dxa"/>
          <w:left w:w="108" w:type="dxa"/>
          <w:bottom w:w="0" w:type="dxa"/>
          <w:right w:w="108" w:type="dxa"/>
        </w:tblCellMar>
      </w:tblPr>
      <w:tblGrid>
        <w:gridCol w:w="792"/>
        <w:gridCol w:w="2541"/>
        <w:gridCol w:w="2272"/>
        <w:gridCol w:w="2029"/>
      </w:tblGrid>
      <w:tr>
        <w:tblPrEx>
          <w:tblCellMar>
            <w:top w:w="0" w:type="dxa"/>
            <w:left w:w="108" w:type="dxa"/>
            <w:bottom w:w="0" w:type="dxa"/>
            <w:right w:w="108" w:type="dxa"/>
          </w:tblCellMar>
        </w:tblPrEx>
        <w:trPr>
          <w:trHeight w:val="719" w:hRule="exac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序号</w:t>
            </w:r>
          </w:p>
        </w:tc>
        <w:tc>
          <w:tcPr>
            <w:tcW w:w="1664"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维保项目</w:t>
            </w:r>
          </w:p>
        </w:tc>
        <w:tc>
          <w:tcPr>
            <w:tcW w:w="1488"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单价（元/台/年）</w:t>
            </w:r>
          </w:p>
        </w:tc>
        <w:tc>
          <w:tcPr>
            <w:tcW w:w="1329"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备注</w:t>
            </w:r>
          </w:p>
        </w:tc>
      </w:tr>
      <w:tr>
        <w:tblPrEx>
          <w:tblCellMar>
            <w:top w:w="0" w:type="dxa"/>
            <w:left w:w="108" w:type="dxa"/>
            <w:bottom w:w="0" w:type="dxa"/>
            <w:right w:w="108" w:type="dxa"/>
          </w:tblCellMar>
        </w:tblPrEx>
        <w:trPr>
          <w:trHeight w:val="715" w:hRule="exac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1</w:t>
            </w:r>
          </w:p>
        </w:tc>
        <w:tc>
          <w:tcPr>
            <w:tcW w:w="1664"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ZT2078-A00维保</w:t>
            </w:r>
          </w:p>
        </w:tc>
        <w:tc>
          <w:tcPr>
            <w:tcW w:w="1488"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c>
          <w:tcPr>
            <w:tcW w:w="1329"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r>
      <w:tr>
        <w:tblPrEx>
          <w:tblCellMar>
            <w:top w:w="0" w:type="dxa"/>
            <w:left w:w="108" w:type="dxa"/>
            <w:bottom w:w="0" w:type="dxa"/>
            <w:right w:w="108" w:type="dxa"/>
          </w:tblCellMar>
        </w:tblPrEx>
        <w:trPr>
          <w:trHeight w:val="698" w:hRule="exac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2</w:t>
            </w:r>
          </w:p>
        </w:tc>
        <w:tc>
          <w:tcPr>
            <w:tcW w:w="1664"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ZT2078-B00维保</w:t>
            </w:r>
          </w:p>
        </w:tc>
        <w:tc>
          <w:tcPr>
            <w:tcW w:w="1488"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c>
          <w:tcPr>
            <w:tcW w:w="1329"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r>
      <w:tr>
        <w:tblPrEx>
          <w:tblCellMar>
            <w:top w:w="0" w:type="dxa"/>
            <w:left w:w="108" w:type="dxa"/>
            <w:bottom w:w="0" w:type="dxa"/>
            <w:right w:w="108" w:type="dxa"/>
          </w:tblCellMar>
        </w:tblPrEx>
        <w:trPr>
          <w:trHeight w:val="708" w:hRule="exac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3</w:t>
            </w:r>
          </w:p>
        </w:tc>
        <w:tc>
          <w:tcPr>
            <w:tcW w:w="1664"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NEU-MG008维保</w:t>
            </w:r>
          </w:p>
        </w:tc>
        <w:tc>
          <w:tcPr>
            <w:tcW w:w="1488"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c>
          <w:tcPr>
            <w:tcW w:w="1329"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r>
      <w:tr>
        <w:tblPrEx>
          <w:tblCellMar>
            <w:top w:w="0" w:type="dxa"/>
            <w:left w:w="108" w:type="dxa"/>
            <w:bottom w:w="0" w:type="dxa"/>
            <w:right w:w="108" w:type="dxa"/>
          </w:tblCellMar>
        </w:tblPrEx>
        <w:trPr>
          <w:trHeight w:val="704" w:hRule="exac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4</w:t>
            </w:r>
          </w:p>
        </w:tc>
        <w:tc>
          <w:tcPr>
            <w:tcW w:w="1664"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r>
              <w:rPr>
                <w:rFonts w:hint="eastAsia" w:ascii="仿宋" w:hAnsi="仿宋" w:eastAsia="仿宋" w:cs="仿宋_GB2312"/>
                <w:bCs/>
                <w:sz w:val="28"/>
                <w:szCs w:val="28"/>
              </w:rPr>
              <w:t>NEU-MG009维保</w:t>
            </w:r>
          </w:p>
        </w:tc>
        <w:tc>
          <w:tcPr>
            <w:tcW w:w="1488"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c>
          <w:tcPr>
            <w:tcW w:w="1329" w:type="pct"/>
            <w:tcBorders>
              <w:top w:val="single" w:color="000000" w:sz="4" w:space="0"/>
              <w:left w:val="nil"/>
              <w:bottom w:val="single" w:color="000000" w:sz="4" w:space="0"/>
              <w:right w:val="single" w:color="000000" w:sz="4" w:space="0"/>
            </w:tcBorders>
            <w:vAlign w:val="center"/>
          </w:tcPr>
          <w:p>
            <w:pPr>
              <w:jc w:val="center"/>
              <w:textAlignment w:val="top"/>
              <w:rPr>
                <w:rFonts w:ascii="仿宋" w:hAnsi="仿宋" w:eastAsia="仿宋" w:cs="仿宋_GB2312"/>
                <w:bCs/>
                <w:sz w:val="28"/>
                <w:szCs w:val="28"/>
              </w:rPr>
            </w:pPr>
          </w:p>
        </w:tc>
      </w:tr>
    </w:tbl>
    <w:p>
      <w:pPr>
        <w:pStyle w:val="11"/>
        <w:ind w:left="0" w:leftChars="0" w:firstLine="560" w:firstLineChars="200"/>
        <w:rPr>
          <w:rFonts w:ascii="仿宋" w:hAnsi="仿宋" w:eastAsia="仿宋" w:cs="仿宋_GB2312"/>
          <w:sz w:val="28"/>
          <w:szCs w:val="28"/>
        </w:rPr>
      </w:pPr>
      <w:r>
        <w:rPr>
          <w:rFonts w:hint="eastAsia" w:ascii="仿宋" w:hAnsi="仿宋" w:eastAsia="仿宋" w:cs="仿宋_GB2312"/>
          <w:sz w:val="28"/>
          <w:szCs w:val="28"/>
        </w:rPr>
        <w:t>2.本合同不含硬件升级改造服务。</w:t>
      </w:r>
    </w:p>
    <w:p>
      <w:pPr>
        <w:pStyle w:val="11"/>
        <w:ind w:left="0" w:leftChars="0" w:firstLine="560" w:firstLineChars="200"/>
        <w:rPr>
          <w:rFonts w:ascii="仿宋" w:hAnsi="仿宋" w:eastAsia="仿宋" w:cs="仿宋_GB2312"/>
          <w:sz w:val="28"/>
          <w:szCs w:val="28"/>
        </w:rPr>
      </w:pPr>
      <w:r>
        <w:rPr>
          <w:rFonts w:hint="eastAsia" w:ascii="仿宋" w:hAnsi="仿宋" w:eastAsia="仿宋" w:cs="仿宋_GB2312"/>
          <w:sz w:val="28"/>
          <w:szCs w:val="28"/>
        </w:rPr>
        <w:t>（二）服务周期、结算费用</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维保服务周期：</w:t>
      </w:r>
      <w:r>
        <w:rPr>
          <w:rFonts w:hint="eastAsia" w:ascii="仿宋" w:hAnsi="仿宋" w:eastAsia="仿宋" w:cs="仿宋_GB2312"/>
          <w:szCs w:val="28"/>
          <w:u w:val="single"/>
        </w:rPr>
        <w:t xml:space="preserve"> 一年 </w:t>
      </w:r>
      <w:r>
        <w:rPr>
          <w:rFonts w:hint="eastAsia" w:ascii="仿宋" w:hAnsi="仿宋" w:eastAsia="仿宋" w:cs="仿宋_GB2312"/>
          <w:szCs w:val="28"/>
        </w:rPr>
        <w:t>，单台设备维保时间按照自然月计算，对于满15日不足30日的部分按照半个月计算，不足15日的部分不做计算。</w:t>
      </w:r>
    </w:p>
    <w:p>
      <w:pPr>
        <w:autoSpaceDE w:val="0"/>
        <w:autoSpaceDN w:val="0"/>
        <w:adjustRightInd w:val="0"/>
        <w:ind w:firstLine="560" w:firstLineChars="200"/>
        <w:rPr>
          <w:rFonts w:ascii="仿宋" w:hAnsi="仿宋" w:eastAsia="仿宋" w:cs="仿宋_GB2312"/>
          <w:sz w:val="28"/>
          <w:szCs w:val="28"/>
        </w:rPr>
      </w:pPr>
      <w:r>
        <w:rPr>
          <w:rFonts w:hint="eastAsia" w:ascii="仿宋" w:hAnsi="仿宋" w:eastAsia="仿宋" w:cs="仿宋_GB2312"/>
          <w:sz w:val="28"/>
          <w:szCs w:val="28"/>
        </w:rPr>
        <w:t>（三）费用结算</w:t>
      </w:r>
    </w:p>
    <w:p>
      <w:pPr>
        <w:autoSpaceDE w:val="0"/>
        <w:autoSpaceDN w:val="0"/>
        <w:adjustRightInd w:val="0"/>
        <w:ind w:firstLine="560" w:firstLineChars="200"/>
        <w:rPr>
          <w:rFonts w:ascii="仿宋" w:hAnsi="仿宋" w:eastAsia="仿宋" w:cs="仿宋_GB2312"/>
          <w:sz w:val="28"/>
          <w:szCs w:val="28"/>
        </w:rPr>
      </w:pPr>
      <w:r>
        <w:rPr>
          <w:rFonts w:hint="eastAsia" w:ascii="仿宋" w:hAnsi="仿宋" w:eastAsia="仿宋" w:cs="仿宋_GB2312"/>
          <w:sz w:val="28"/>
          <w:szCs w:val="28"/>
        </w:rPr>
        <w:t>1.付款方式：合同签订后，在合约期内以实际下单维保设备数量按年度结算，先提供服务后付款。服务期满后，乙方应提交设备维护报告，经甲方审核通过后，在乙方开具符合国家财务规定的相应数额的正式的增值税专用发票提交给甲方后，甲方按照合同规定以银行转账形式支付服务费用。</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2.支付条件：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考核评价得分在90分（含）以上，按合同约定支付或有条件支付相应合同价款（有条件支付是指服务商对存在问题通过改进和完善完全达到合同约定标准）；</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考核评价得分在80分（含）至90分以内，减值支付相应合同价款。甲方视乙方对其存在问题整改情况支付减值后的相应合同价款；</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考核评价得分在80分以下，相应合同价款不予支付。</w:t>
      </w:r>
    </w:p>
    <w:p>
      <w:pPr>
        <w:pStyle w:val="30"/>
        <w:spacing w:line="240" w:lineRule="auto"/>
        <w:ind w:firstLineChars="200"/>
        <w:rPr>
          <w:rFonts w:ascii="仿宋" w:hAnsi="仿宋" w:eastAsia="仿宋" w:cs="仿宋_GB2312"/>
          <w:szCs w:val="28"/>
        </w:rPr>
      </w:pPr>
      <w:r>
        <w:rPr>
          <w:rFonts w:hint="eastAsia" w:ascii="仿宋" w:hAnsi="仿宋" w:eastAsia="仿宋" w:cs="仿宋_GB2312"/>
          <w:szCs w:val="28"/>
        </w:rPr>
        <w:t>3.乙方银行账户信息：</w:t>
      </w:r>
    </w:p>
    <w:p>
      <w:pPr>
        <w:autoSpaceDE w:val="0"/>
        <w:autoSpaceDN w:val="0"/>
        <w:adjustRightInd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开户名称：</w:t>
      </w:r>
      <w:r>
        <w:rPr>
          <w:rFonts w:hint="eastAsia" w:ascii="仿宋" w:hAnsi="仿宋" w:eastAsia="仿宋" w:cs="仿宋_GB2312"/>
          <w:sz w:val="28"/>
          <w:szCs w:val="28"/>
          <w:u w:val="single"/>
        </w:rPr>
        <w:t xml:space="preserve">                            </w:t>
      </w:r>
    </w:p>
    <w:p>
      <w:pPr>
        <w:autoSpaceDE w:val="0"/>
        <w:autoSpaceDN w:val="0"/>
        <w:adjustRightInd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开户银行：</w:t>
      </w:r>
      <w:r>
        <w:rPr>
          <w:rFonts w:hint="eastAsia" w:ascii="仿宋" w:hAnsi="仿宋" w:eastAsia="仿宋" w:cs="仿宋_GB2312"/>
          <w:sz w:val="28"/>
          <w:szCs w:val="28"/>
          <w:u w:val="single"/>
        </w:rPr>
        <w:t xml:space="preserve">                            </w:t>
      </w:r>
    </w:p>
    <w:p>
      <w:pPr>
        <w:autoSpaceDE w:val="0"/>
        <w:autoSpaceDN w:val="0"/>
        <w:adjustRightInd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 xml:space="preserve">                            </w:t>
      </w:r>
    </w:p>
    <w:p>
      <w:pPr>
        <w:pStyle w:val="2"/>
      </w:pPr>
    </w:p>
    <w:p>
      <w:pPr>
        <w:rPr>
          <w:rFonts w:ascii="仿宋" w:hAnsi="仿宋" w:eastAsia="仿宋" w:cs="仿宋_GB2312"/>
          <w:b/>
          <w:sz w:val="28"/>
          <w:szCs w:val="28"/>
        </w:rPr>
      </w:pPr>
      <w:r>
        <w:rPr>
          <w:rFonts w:hint="eastAsia" w:ascii="仿宋" w:hAnsi="仿宋" w:eastAsia="仿宋" w:cs="仿宋_GB2312"/>
          <w:b/>
          <w:sz w:val="28"/>
          <w:szCs w:val="28"/>
        </w:rPr>
        <w:t>三、维保服务内容及要求</w:t>
      </w:r>
    </w:p>
    <w:p>
      <w:pPr>
        <w:ind w:firstLine="560" w:firstLineChars="200"/>
        <w:rPr>
          <w:rFonts w:ascii="仿宋" w:hAnsi="仿宋" w:eastAsia="仿宋" w:cs="仿宋_GB2312"/>
          <w:b/>
          <w:sz w:val="28"/>
          <w:szCs w:val="28"/>
        </w:rPr>
      </w:pPr>
      <w:r>
        <w:rPr>
          <w:rFonts w:hint="eastAsia" w:ascii="仿宋" w:hAnsi="仿宋" w:eastAsia="仿宋" w:cs="仿宋_GB2312"/>
          <w:sz w:val="28"/>
          <w:szCs w:val="28"/>
        </w:rPr>
        <w:t>（一）维保服务期内，乙方应在充分了解甲方现有环境基础上，提供规范化、高质量的服务，具体维保服务内容与要求见附件一《维保服务技术要求》。</w:t>
      </w:r>
    </w:p>
    <w:p>
      <w:pPr>
        <w:autoSpaceDE w:val="0"/>
        <w:autoSpaceDN w:val="0"/>
        <w:adjustRightInd w:val="0"/>
        <w:ind w:firstLine="560" w:firstLineChars="200"/>
        <w:rPr>
          <w:rFonts w:ascii="仿宋" w:hAnsi="仿宋" w:eastAsia="仿宋" w:cs="仿宋_GB2312"/>
          <w:sz w:val="28"/>
          <w:szCs w:val="28"/>
        </w:rPr>
      </w:pPr>
      <w:r>
        <w:rPr>
          <w:rFonts w:hint="eastAsia" w:ascii="仿宋" w:hAnsi="仿宋" w:eastAsia="仿宋" w:cs="仿宋_GB2312"/>
          <w:sz w:val="28"/>
          <w:szCs w:val="28"/>
        </w:rPr>
        <w:t>（二）乙方将在甲方指定的地点或在乙方的维修中心为甲方提供修理或更换服务，并根据具体情况来决定设备是需要修理还是更换。</w:t>
      </w:r>
    </w:p>
    <w:p>
      <w:pPr>
        <w:pStyle w:val="28"/>
        <w:ind w:firstLine="560" w:firstLineChars="200"/>
        <w:rPr>
          <w:rFonts w:ascii="仿宋" w:hAnsi="仿宋" w:eastAsia="仿宋" w:cs="仿宋_GB2312"/>
          <w:kern w:val="2"/>
          <w:sz w:val="28"/>
          <w:szCs w:val="28"/>
        </w:rPr>
      </w:pPr>
      <w:r>
        <w:rPr>
          <w:rFonts w:hint="eastAsia" w:ascii="仿宋" w:hAnsi="仿宋" w:eastAsia="仿宋" w:cs="仿宋_GB2312"/>
          <w:kern w:val="2"/>
          <w:sz w:val="28"/>
          <w:szCs w:val="28"/>
        </w:rPr>
        <w:t>（三）需要将有故障的设备或部件运至乙方指定的维修中心时，乙方负责将设备运至乙方指定的维修中心及运回甲方指定的地点，由此发生的运费和风险由乙方承担。对下述情况下发生的设备或部件的丢失或损坏，乙方将承担责任：</w:t>
      </w:r>
    </w:p>
    <w:p>
      <w:pPr>
        <w:pStyle w:val="28"/>
        <w:ind w:firstLine="560" w:firstLineChars="200"/>
        <w:rPr>
          <w:rFonts w:ascii="仿宋" w:hAnsi="仿宋" w:eastAsia="仿宋" w:cs="仿宋_GB2312"/>
          <w:kern w:val="2"/>
          <w:sz w:val="28"/>
          <w:szCs w:val="28"/>
        </w:rPr>
      </w:pPr>
      <w:r>
        <w:rPr>
          <w:rFonts w:hint="eastAsia" w:ascii="仿宋" w:hAnsi="仿宋" w:eastAsia="仿宋" w:cs="仿宋_GB2312"/>
          <w:kern w:val="2"/>
          <w:sz w:val="28"/>
          <w:szCs w:val="28"/>
        </w:rPr>
        <w:t>1.在乙方掌管中的设备或部件发生丢失或损坏；</w:t>
      </w:r>
    </w:p>
    <w:p>
      <w:pPr>
        <w:tabs>
          <w:tab w:val="left" w:pos="540"/>
          <w:tab w:val="left" w:pos="1080"/>
        </w:tabs>
        <w:autoSpaceDE w:val="0"/>
        <w:autoSpaceDN w:val="0"/>
        <w:adjustRightInd w:val="0"/>
        <w:ind w:firstLine="560" w:firstLineChars="200"/>
        <w:rPr>
          <w:rFonts w:ascii="仿宋" w:hAnsi="仿宋" w:eastAsia="仿宋" w:cs="仿宋_GB2312"/>
          <w:sz w:val="28"/>
          <w:szCs w:val="28"/>
        </w:rPr>
      </w:pPr>
      <w:r>
        <w:rPr>
          <w:rFonts w:hint="eastAsia" w:ascii="仿宋" w:hAnsi="仿宋" w:eastAsia="仿宋" w:cs="仿宋_GB2312"/>
          <w:sz w:val="28"/>
          <w:szCs w:val="28"/>
        </w:rPr>
        <w:t>2.在设备运输过程中,设备或部件发生丢失或损坏；</w:t>
      </w:r>
    </w:p>
    <w:p>
      <w:pPr>
        <w:pStyle w:val="28"/>
        <w:ind w:firstLine="560" w:firstLineChars="200"/>
        <w:rPr>
          <w:rFonts w:ascii="仿宋" w:hAnsi="仿宋" w:eastAsia="仿宋" w:cs="仿宋_GB2312"/>
          <w:kern w:val="2"/>
          <w:sz w:val="28"/>
          <w:szCs w:val="28"/>
        </w:rPr>
      </w:pPr>
      <w:r>
        <w:rPr>
          <w:rFonts w:hint="eastAsia" w:ascii="仿宋" w:hAnsi="仿宋" w:eastAsia="仿宋" w:cs="仿宋_GB2312"/>
          <w:kern w:val="2"/>
          <w:sz w:val="28"/>
          <w:szCs w:val="28"/>
        </w:rPr>
        <w:t>3.当维护服务涉及更换设备或零部件时，被替换下来的零部件属于乙方的财产（涉及甲方保密信息的除外），而替换件则属于甲方的财产。</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4.当甲方的设备不再运行，甲方可提前一个月发出书面通知，要求乙方终止对其设备继续提供维护服务，被终止的服务不再支付费用，并无须支付额外费用。</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（四）乙方需在昆山本地有维修服务点（包括备件库）。</w:t>
      </w:r>
    </w:p>
    <w:p>
      <w:pPr>
        <w:pStyle w:val="2"/>
      </w:pPr>
    </w:p>
    <w:p>
      <w:pPr>
        <w:autoSpaceDE w:val="0"/>
        <w:autoSpaceDN w:val="0"/>
        <w:adjustRightInd w:val="0"/>
        <w:rPr>
          <w:rFonts w:ascii="仿宋" w:hAnsi="仿宋" w:eastAsia="仿宋" w:cs="仿宋_GB2312"/>
          <w:b/>
          <w:sz w:val="28"/>
          <w:szCs w:val="28"/>
        </w:rPr>
      </w:pPr>
      <w:r>
        <w:rPr>
          <w:rFonts w:hint="eastAsia" w:ascii="仿宋" w:hAnsi="仿宋" w:eastAsia="仿宋" w:cs="仿宋_GB2312"/>
          <w:b/>
          <w:sz w:val="28"/>
          <w:szCs w:val="28"/>
        </w:rPr>
        <w:t>四、人员要求</w:t>
      </w:r>
    </w:p>
    <w:p>
      <w:pPr>
        <w:pStyle w:val="29"/>
        <w:ind w:firstLine="560" w:firstLineChars="200"/>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一）乙方应派遣一名具有专业知识的资深管理人员作为项目负责人，负责本项目的项目管理，统筹相关工作，监督项目执行与情况汇报，控制工作质量，执行变更和应急情况管理，并根据实际状况调整乙方人员安排，以保证项目的正常高效运作。若乙方对项目管理人员进行更换的，应取得甲方同意，并在5天内将更换的项目管理人员姓名及联系方式、资质等相关信息以书面形式通知甲方。</w:t>
      </w:r>
    </w:p>
    <w:p>
      <w:pPr>
        <w:pStyle w:val="29"/>
        <w:ind w:firstLine="560" w:firstLineChars="200"/>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乙方项目管理人员姓名：</w:t>
      </w:r>
      <w:r>
        <w:rPr>
          <w:rFonts w:hint="eastAsia" w:ascii="仿宋" w:hAnsi="仿宋" w:eastAsia="仿宋" w:cs="仿宋_GB2312"/>
          <w:color w:val="auto"/>
          <w:kern w:val="2"/>
          <w:sz w:val="28"/>
          <w:szCs w:val="28"/>
          <w:u w:val="single"/>
        </w:rPr>
        <w:t xml:space="preserve">        </w:t>
      </w:r>
      <w:r>
        <w:rPr>
          <w:rFonts w:hint="eastAsia" w:ascii="仿宋" w:hAnsi="仿宋" w:eastAsia="仿宋" w:cs="仿宋_GB2312"/>
          <w:color w:val="auto"/>
          <w:kern w:val="2"/>
          <w:sz w:val="28"/>
          <w:szCs w:val="28"/>
        </w:rPr>
        <w:t>联系电话：</w:t>
      </w:r>
      <w:r>
        <w:rPr>
          <w:rFonts w:hint="eastAsia" w:ascii="仿宋" w:hAnsi="仿宋" w:eastAsia="仿宋" w:cs="仿宋_GB2312"/>
          <w:color w:val="auto"/>
          <w:kern w:val="2"/>
          <w:sz w:val="28"/>
          <w:szCs w:val="28"/>
          <w:u w:val="single"/>
        </w:rPr>
        <w:t xml:space="preserve">           </w:t>
      </w:r>
      <w:r>
        <w:rPr>
          <w:rFonts w:hint="eastAsia" w:ascii="仿宋" w:hAnsi="仿宋" w:eastAsia="仿宋" w:cs="仿宋_GB2312"/>
          <w:color w:val="auto"/>
          <w:kern w:val="2"/>
          <w:sz w:val="28"/>
          <w:szCs w:val="28"/>
        </w:rPr>
        <w:t>。</w:t>
      </w:r>
    </w:p>
    <w:p>
      <w:pPr>
        <w:pStyle w:val="29"/>
        <w:ind w:firstLine="560" w:firstLineChars="200"/>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二）乙方应派出附件二《维护服务技术人员情况表》中指定资历和经验的专业服务人员到现场提供服务，负责对其人员进行监督、指导和管理，甲方有权要求撤换不合格的服务人员。未经甲方书面同意，乙方不得擅自更换指定的服务人员，否则甲方有权终止本合同，另行安排服务商，由此造成的损失由乙方承担。</w:t>
      </w:r>
    </w:p>
    <w:p>
      <w:pPr>
        <w:autoSpaceDE w:val="0"/>
        <w:autoSpaceDN w:val="0"/>
        <w:adjustRightInd w:val="0"/>
        <w:rPr>
          <w:rFonts w:ascii="仿宋" w:hAnsi="仿宋" w:eastAsia="仿宋" w:cs="仿宋_GB2312"/>
          <w:b/>
          <w:sz w:val="28"/>
          <w:szCs w:val="28"/>
        </w:rPr>
      </w:pPr>
    </w:p>
    <w:p>
      <w:pPr>
        <w:autoSpaceDE w:val="0"/>
        <w:autoSpaceDN w:val="0"/>
        <w:adjustRightInd w:val="0"/>
        <w:rPr>
          <w:rFonts w:ascii="仿宋" w:hAnsi="仿宋" w:eastAsia="仿宋" w:cs="仿宋_GB2312"/>
          <w:b/>
          <w:sz w:val="28"/>
          <w:szCs w:val="28"/>
        </w:rPr>
      </w:pPr>
      <w:r>
        <w:rPr>
          <w:rFonts w:hint="eastAsia" w:ascii="仿宋" w:hAnsi="仿宋" w:eastAsia="仿宋" w:cs="仿宋_GB2312"/>
          <w:b/>
          <w:sz w:val="28"/>
          <w:szCs w:val="28"/>
        </w:rPr>
        <w:t>五、维保服务考核</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（一）工作报告：乙方定期按</w:t>
      </w:r>
      <w:r>
        <w:rPr>
          <w:rFonts w:hint="eastAsia" w:ascii="仿宋" w:hAnsi="仿宋" w:eastAsia="仿宋" w:cs="仿宋_GB2312"/>
          <w:sz w:val="28"/>
          <w:szCs w:val="28"/>
          <w:u w:val="single"/>
        </w:rPr>
        <w:t>月/季/年</w:t>
      </w:r>
      <w:r>
        <w:rPr>
          <w:rFonts w:hint="eastAsia" w:ascii="仿宋" w:hAnsi="仿宋" w:eastAsia="仿宋" w:cs="仿宋_GB2312"/>
          <w:sz w:val="28"/>
          <w:szCs w:val="28"/>
        </w:rPr>
        <w:t>向甲方考核评价部门提交维保服务工作报告，保证甲方及时了解乙方的履约情况。</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（二）</w:t>
      </w:r>
      <w:bookmarkStart w:id="2" w:name="OLE_LINK1"/>
      <w:r>
        <w:rPr>
          <w:rFonts w:hint="eastAsia" w:ascii="仿宋" w:hAnsi="仿宋" w:eastAsia="仿宋" w:cs="仿宋_GB2312"/>
          <w:sz w:val="28"/>
          <w:szCs w:val="28"/>
        </w:rPr>
        <w:t>服务期满，甲方考核评价部门定期对乙方进行考核，填制《服务商监督考核评价打分表》（见附件五），作为考核乙方履约情况及付款的依据。</w:t>
      </w:r>
    </w:p>
    <w:bookmarkEnd w:id="2"/>
    <w:p>
      <w:pPr>
        <w:autoSpaceDE w:val="0"/>
        <w:autoSpaceDN w:val="0"/>
        <w:adjustRightInd w:val="0"/>
        <w:rPr>
          <w:rFonts w:ascii="仿宋" w:hAnsi="仿宋" w:eastAsia="仿宋" w:cs="仿宋_GB2312"/>
          <w:b/>
          <w:sz w:val="28"/>
          <w:szCs w:val="28"/>
        </w:rPr>
      </w:pPr>
    </w:p>
    <w:p>
      <w:pPr>
        <w:autoSpaceDE w:val="0"/>
        <w:autoSpaceDN w:val="0"/>
        <w:adjustRightInd w:val="0"/>
        <w:ind w:firstLine="632" w:firstLineChars="225"/>
        <w:rPr>
          <w:rFonts w:ascii="仿宋" w:hAnsi="仿宋" w:eastAsia="仿宋" w:cs="仿宋_GB2312"/>
          <w:b/>
          <w:sz w:val="28"/>
          <w:szCs w:val="28"/>
        </w:rPr>
      </w:pPr>
      <w:r>
        <w:rPr>
          <w:rFonts w:hint="eastAsia" w:ascii="仿宋" w:hAnsi="仿宋" w:eastAsia="仿宋" w:cs="仿宋_GB2312"/>
          <w:b/>
          <w:sz w:val="28"/>
          <w:szCs w:val="28"/>
        </w:rPr>
        <w:t>六、违约责任</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一）如果因乙方原因造成未能按合同约定提供服务（含提供服务达不到合同要求），甲方有权拒付当期合同款项，同时有权终止本合同，并将乙方列入甲方采购禁入名单，由此给甲方造成的损失由乙方赔偿。因乙方服务问题造成事故，使得甲方设备遭受损失，甲方有权要求乙方赔偿相应损失。</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（二）因乙方服务问题给甲方财产或人员造成损害，由乙方赔偿甲方由此遭受的损失。</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（三）维保期内，乙方未能按合同的约定提供维修服务或不能在承诺时间内修复故障，甲方有权请其它专业服务公司进行维修，由此造成的费用和损失由乙方承担。</w:t>
      </w:r>
    </w:p>
    <w:p>
      <w:pPr>
        <w:pStyle w:val="30"/>
        <w:widowControl/>
        <w:snapToGrid/>
        <w:spacing w:line="240" w:lineRule="auto"/>
        <w:ind w:firstLineChars="200"/>
        <w:jc w:val="left"/>
        <w:rPr>
          <w:rFonts w:ascii="仿宋" w:hAnsi="仿宋" w:eastAsia="仿宋" w:cs="仿宋_GB2312"/>
          <w:szCs w:val="28"/>
        </w:rPr>
      </w:pPr>
      <w:r>
        <w:rPr>
          <w:rFonts w:hint="eastAsia" w:ascii="仿宋" w:hAnsi="仿宋" w:eastAsia="仿宋" w:cs="仿宋_GB2312"/>
          <w:szCs w:val="28"/>
        </w:rPr>
        <w:t>（四）乙方违约造成甲方的费用增加和损失，甲方有权从未支付的合同剩余款项中直接扣除。如未支付的合同剩余款项不足以弥补甲方上述费用和损失，乙方应向甲方支付不足部分款项。</w:t>
      </w:r>
    </w:p>
    <w:p>
      <w:pPr>
        <w:pStyle w:val="11"/>
        <w:widowControl/>
        <w:spacing w:after="0"/>
        <w:ind w:left="0" w:leftChars="0" w:firstLine="560" w:firstLineChars="200"/>
        <w:jc w:val="left"/>
        <w:rPr>
          <w:rFonts w:ascii="仿宋" w:hAnsi="仿宋" w:eastAsia="仿宋" w:cs="仿宋_GB2312"/>
          <w:sz w:val="28"/>
          <w:szCs w:val="28"/>
        </w:rPr>
      </w:pPr>
      <w:r>
        <w:rPr>
          <w:rFonts w:hint="eastAsia" w:ascii="仿宋" w:hAnsi="仿宋" w:eastAsia="仿宋" w:cs="仿宋_GB2312"/>
          <w:sz w:val="28"/>
          <w:szCs w:val="28"/>
        </w:rPr>
        <w:t>（五）因乙方维保造成系统中病毒的，依感染面积和据停机时间长短，承担甲方的一切直接和间接损失，包括但不限于设备停运手续费收入、甲方为设备恢复营运所支出的必要费用。</w:t>
      </w:r>
    </w:p>
    <w:p>
      <w:pPr>
        <w:autoSpaceDE w:val="0"/>
        <w:autoSpaceDN w:val="0"/>
        <w:adjustRightInd w:val="0"/>
        <w:ind w:firstLine="537" w:firstLineChars="192"/>
        <w:rPr>
          <w:rFonts w:ascii="仿宋" w:hAnsi="仿宋" w:eastAsia="仿宋" w:cs="仿宋_GB2312"/>
          <w:sz w:val="28"/>
          <w:szCs w:val="28"/>
        </w:rPr>
      </w:pPr>
    </w:p>
    <w:p>
      <w:pPr>
        <w:autoSpaceDE w:val="0"/>
        <w:autoSpaceDN w:val="0"/>
        <w:adjustRightInd w:val="0"/>
        <w:ind w:firstLine="540" w:firstLineChars="192"/>
        <w:rPr>
          <w:rFonts w:ascii="仿宋" w:hAnsi="仿宋" w:eastAsia="仿宋" w:cs="仿宋_GB2312"/>
          <w:b/>
          <w:sz w:val="28"/>
          <w:szCs w:val="28"/>
        </w:rPr>
      </w:pPr>
      <w:r>
        <w:rPr>
          <w:rFonts w:hint="eastAsia" w:ascii="仿宋" w:hAnsi="仿宋" w:eastAsia="仿宋" w:cs="仿宋_GB2312"/>
          <w:b/>
          <w:sz w:val="28"/>
          <w:szCs w:val="28"/>
        </w:rPr>
        <w:t>七、知识产权及保密</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一）乙方保证，其根据本合同提供的货物及服务没有任何权利瑕疵，没有侵犯任何第三方权利，甲方在使用该服务的任何一部分时，免受第三方提出的侵犯其权利的任何权利主张。如果任何人对甲方使用该货物主张权利，由乙方负责处理一切纠纷及相关事宜。由此给甲方造成的损失，由乙方承担，其承担范围包括但不限于：赔偿费、诉讼费（仲裁费）和相关的费用。</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二）乙方应保守在缔结和履行合同过程中获知的甲方内部保密信息，除一方履行合同义务的必要或有法律、法规规定应披露的之外，不得以任何方式向第三人披露和不正当使用，否则，应当赔偿因泄露保密信息给对方造成的损失。本合同的无效、被撤销、解除、变更或终止等均不影响本条的效力。</w:t>
      </w:r>
    </w:p>
    <w:p>
      <w:pPr>
        <w:pStyle w:val="30"/>
        <w:snapToGrid/>
        <w:spacing w:line="240" w:lineRule="auto"/>
        <w:ind w:firstLine="562" w:firstLineChars="200"/>
        <w:rPr>
          <w:rFonts w:ascii="仿宋" w:hAnsi="仿宋" w:eastAsia="仿宋" w:cs="仿宋_GB2312"/>
          <w:b/>
          <w:szCs w:val="28"/>
        </w:rPr>
      </w:pPr>
    </w:p>
    <w:p>
      <w:pPr>
        <w:ind w:firstLine="562" w:firstLineChars="200"/>
        <w:rPr>
          <w:rFonts w:ascii="仿宋" w:hAnsi="仿宋" w:eastAsia="仿宋" w:cs="仿宋_GB2312"/>
          <w:b/>
          <w:sz w:val="28"/>
          <w:szCs w:val="28"/>
        </w:rPr>
      </w:pPr>
      <w:r>
        <w:rPr>
          <w:rFonts w:hint="eastAsia" w:ascii="仿宋" w:hAnsi="仿宋" w:eastAsia="仿宋" w:cs="仿宋_GB2312"/>
          <w:b/>
          <w:sz w:val="28"/>
          <w:szCs w:val="28"/>
        </w:rPr>
        <w:t>八、不可抗力</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一）由于发生不能预见、不能避免并不能克服的不可抗力情形，致使直接影响本合同的履行或不能按照本合同项下之约定履行时，遇有不可抗力的一方应当立即书面通知对方，并在发生不可抗力之日起30天内，提供不可抗力详情及合同不能履行或部分不能履行，或需要延期履行理由的有效书面证明，该项证明文件应当由不可抗力发生地的公证机关出具。</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（二）根据不可抗力对本合同的影响程度，双方应当协商是否解除本合同或部分、全部免除履行本合同的责任，或延期履行本合同。</w:t>
      </w:r>
    </w:p>
    <w:p>
      <w:pPr>
        <w:ind w:firstLine="562" w:firstLineChars="200"/>
        <w:rPr>
          <w:rFonts w:ascii="仿宋" w:hAnsi="仿宋" w:eastAsia="仿宋" w:cs="仿宋_GB2312"/>
          <w:b/>
          <w:sz w:val="28"/>
          <w:szCs w:val="28"/>
        </w:rPr>
      </w:pPr>
    </w:p>
    <w:p>
      <w:pPr>
        <w:pStyle w:val="30"/>
        <w:snapToGrid/>
        <w:spacing w:line="240" w:lineRule="auto"/>
        <w:ind w:firstLine="562" w:firstLineChars="200"/>
        <w:rPr>
          <w:rFonts w:ascii="仿宋" w:hAnsi="仿宋" w:eastAsia="仿宋" w:cs="仿宋_GB2312"/>
          <w:b/>
          <w:szCs w:val="28"/>
        </w:rPr>
      </w:pPr>
      <w:r>
        <w:rPr>
          <w:rFonts w:hint="eastAsia" w:ascii="仿宋" w:hAnsi="仿宋" w:eastAsia="仿宋" w:cs="仿宋_GB2312"/>
          <w:b/>
          <w:szCs w:val="28"/>
        </w:rPr>
        <w:t>九、合同争议的解决</w:t>
      </w:r>
    </w:p>
    <w:p>
      <w:pPr>
        <w:pStyle w:val="30"/>
        <w:snapToGrid/>
        <w:spacing w:line="240" w:lineRule="auto"/>
        <w:ind w:firstLineChars="200"/>
        <w:rPr>
          <w:rFonts w:ascii="仿宋" w:hAnsi="仿宋" w:eastAsia="仿宋" w:cs="仿宋_GB2312"/>
          <w:kern w:val="0"/>
          <w:szCs w:val="28"/>
        </w:rPr>
      </w:pPr>
      <w:r>
        <w:rPr>
          <w:rFonts w:hint="eastAsia" w:ascii="仿宋" w:hAnsi="仿宋" w:eastAsia="仿宋" w:cs="仿宋_GB2312"/>
          <w:kern w:val="0"/>
          <w:szCs w:val="28"/>
        </w:rPr>
        <w:t>本合同履行中发生争议，可由双方协商解决，也可按以下第</w:t>
      </w:r>
      <w:r>
        <w:rPr>
          <w:rFonts w:hint="eastAsia" w:ascii="仿宋" w:hAnsi="仿宋" w:eastAsia="仿宋" w:cs="仿宋_GB2312"/>
          <w:kern w:val="0"/>
          <w:szCs w:val="28"/>
          <w:u w:val="single"/>
        </w:rPr>
        <w:t xml:space="preserve"> </w:t>
      </w:r>
      <w:r>
        <w:rPr>
          <w:rFonts w:hint="eastAsia" w:ascii="仿宋" w:hAnsi="仿宋" w:eastAsia="仿宋" w:cs="仿宋_GB2312"/>
          <w:szCs w:val="28"/>
          <w:u w:val="single"/>
        </w:rPr>
        <w:t>（一）</w:t>
      </w:r>
      <w:r>
        <w:rPr>
          <w:rFonts w:hint="eastAsia" w:ascii="仿宋" w:hAnsi="仿宋" w:eastAsia="仿宋" w:cs="仿宋_GB2312"/>
          <w:kern w:val="0"/>
          <w:szCs w:val="28"/>
          <w:u w:val="single"/>
        </w:rPr>
        <w:t xml:space="preserve"> </w:t>
      </w:r>
      <w:r>
        <w:rPr>
          <w:rFonts w:hint="eastAsia" w:ascii="仿宋" w:hAnsi="仿宋" w:eastAsia="仿宋" w:cs="仿宋_GB2312"/>
          <w:kern w:val="0"/>
          <w:szCs w:val="28"/>
        </w:rPr>
        <w:t>种方式解决：</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（一）诉讼。由甲方住所地人民法院管辖。</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（二）仲裁。提交</w:t>
      </w:r>
      <w:r>
        <w:rPr>
          <w:rFonts w:hint="eastAsia" w:ascii="仿宋" w:hAnsi="仿宋" w:eastAsia="仿宋" w:cs="仿宋_GB2312"/>
          <w:szCs w:val="28"/>
          <w:u w:val="single"/>
        </w:rPr>
        <w:t xml:space="preserve">                </w:t>
      </w:r>
      <w:r>
        <w:rPr>
          <w:rFonts w:hint="eastAsia" w:ascii="仿宋" w:hAnsi="仿宋" w:eastAsia="仿宋" w:cs="仿宋_GB2312"/>
          <w:szCs w:val="28"/>
        </w:rPr>
        <w:t>（仲裁机构全称）按其仲裁规则进行仲裁。在诉讼或仲裁期间，本合同不涉及争议的条款仍须履行。</w:t>
      </w:r>
    </w:p>
    <w:p>
      <w:pPr>
        <w:pStyle w:val="6"/>
        <w:ind w:firstLine="548" w:firstLineChars="196"/>
        <w:rPr>
          <w:rFonts w:ascii="仿宋" w:hAnsi="仿宋" w:eastAsia="仿宋" w:cs="仿宋_GB2312"/>
          <w:sz w:val="28"/>
          <w:szCs w:val="28"/>
        </w:rPr>
      </w:pPr>
    </w:p>
    <w:p>
      <w:pPr>
        <w:pStyle w:val="30"/>
        <w:snapToGrid/>
        <w:spacing w:line="240" w:lineRule="auto"/>
        <w:ind w:firstLine="562" w:firstLineChars="200"/>
        <w:rPr>
          <w:rFonts w:ascii="仿宋" w:hAnsi="仿宋" w:eastAsia="仿宋" w:cs="仿宋_GB2312"/>
          <w:b/>
          <w:szCs w:val="28"/>
        </w:rPr>
      </w:pPr>
      <w:r>
        <w:rPr>
          <w:rFonts w:hint="eastAsia" w:ascii="仿宋" w:hAnsi="仿宋" w:eastAsia="仿宋" w:cs="仿宋_GB2312"/>
          <w:b/>
          <w:szCs w:val="28"/>
        </w:rPr>
        <w:t>十、合同的转让和修改</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一）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（二）未经双方书面同意，任何一方不得将本合同规定的权利和义务转让给第三方或委托第三方代理。</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（三）合同有效期内，乙方如发生资产重组、并购等债权债务转移情形时，应在债权债务转移工商变更登记之日起</w:t>
      </w:r>
      <w:r>
        <w:rPr>
          <w:rFonts w:hint="eastAsia" w:ascii="仿宋" w:hAnsi="仿宋" w:eastAsia="仿宋" w:cs="仿宋_GB2312"/>
          <w:b/>
          <w:szCs w:val="28"/>
          <w:u w:val="single"/>
        </w:rPr>
        <w:t>七日</w:t>
      </w:r>
      <w:r>
        <w:rPr>
          <w:rFonts w:hint="eastAsia" w:ascii="仿宋" w:hAnsi="仿宋" w:eastAsia="仿宋" w:cs="仿宋_GB2312"/>
          <w:szCs w:val="28"/>
        </w:rPr>
        <w:t>内通知甲方。</w:t>
      </w:r>
    </w:p>
    <w:p>
      <w:pPr>
        <w:pStyle w:val="30"/>
        <w:snapToGrid/>
        <w:spacing w:line="240" w:lineRule="auto"/>
        <w:ind w:firstLine="562" w:firstLineChars="200"/>
        <w:rPr>
          <w:rFonts w:ascii="仿宋" w:hAnsi="仿宋" w:eastAsia="仿宋" w:cs="仿宋_GB2312"/>
          <w:b/>
          <w:szCs w:val="28"/>
        </w:rPr>
      </w:pPr>
    </w:p>
    <w:p>
      <w:pPr>
        <w:pStyle w:val="30"/>
        <w:snapToGrid/>
        <w:spacing w:line="240" w:lineRule="auto"/>
        <w:ind w:firstLine="562" w:firstLineChars="200"/>
        <w:rPr>
          <w:rFonts w:ascii="仿宋" w:hAnsi="仿宋" w:eastAsia="仿宋" w:cs="仿宋_GB2312"/>
          <w:b/>
          <w:szCs w:val="28"/>
        </w:rPr>
      </w:pPr>
      <w:r>
        <w:rPr>
          <w:rFonts w:hint="eastAsia" w:ascii="仿宋" w:hAnsi="仿宋" w:eastAsia="仿宋" w:cs="仿宋_GB2312"/>
          <w:b/>
          <w:szCs w:val="28"/>
        </w:rPr>
        <w:t>十一、合同的生效及其他</w:t>
      </w:r>
    </w:p>
    <w:p>
      <w:pPr>
        <w:pStyle w:val="30"/>
        <w:snapToGrid/>
        <w:spacing w:line="240" w:lineRule="auto"/>
        <w:ind w:left="1" w:firstLineChars="200"/>
        <w:rPr>
          <w:rFonts w:ascii="仿宋" w:hAnsi="仿宋" w:eastAsia="仿宋" w:cs="仿宋_GB2312"/>
          <w:szCs w:val="28"/>
        </w:rPr>
      </w:pPr>
      <w:r>
        <w:rPr>
          <w:rFonts w:hint="eastAsia" w:ascii="仿宋" w:hAnsi="仿宋" w:eastAsia="仿宋" w:cs="仿宋_GB2312"/>
          <w:szCs w:val="28"/>
        </w:rPr>
        <w:t>（一）本合同经双方法定代表人或授权代理人签字并加盖公章后生效，合同一式</w:t>
      </w:r>
      <w:r>
        <w:rPr>
          <w:rFonts w:hint="eastAsia" w:ascii="仿宋" w:hAnsi="仿宋" w:eastAsia="仿宋" w:cs="仿宋_GB2312"/>
          <w:b/>
          <w:szCs w:val="28"/>
          <w:u w:val="single"/>
        </w:rPr>
        <w:t xml:space="preserve"> 肆 </w:t>
      </w:r>
      <w:r>
        <w:rPr>
          <w:rFonts w:hint="eastAsia" w:ascii="仿宋" w:hAnsi="仿宋" w:eastAsia="仿宋" w:cs="仿宋_GB2312"/>
          <w:szCs w:val="28"/>
        </w:rPr>
        <w:t>份，甲方</w:t>
      </w:r>
      <w:r>
        <w:rPr>
          <w:rFonts w:hint="eastAsia" w:ascii="仿宋" w:hAnsi="仿宋" w:eastAsia="仿宋" w:cs="仿宋_GB2312"/>
          <w:szCs w:val="28"/>
          <w:u w:val="single"/>
        </w:rPr>
        <w:t xml:space="preserve"> </w:t>
      </w:r>
      <w:r>
        <w:rPr>
          <w:rFonts w:hint="eastAsia" w:ascii="仿宋" w:hAnsi="仿宋" w:eastAsia="仿宋" w:cs="仿宋_GB2312"/>
          <w:b/>
          <w:szCs w:val="28"/>
          <w:u w:val="single"/>
        </w:rPr>
        <w:t xml:space="preserve">贰 </w:t>
      </w:r>
      <w:r>
        <w:rPr>
          <w:rFonts w:hint="eastAsia" w:ascii="仿宋" w:hAnsi="仿宋" w:eastAsia="仿宋" w:cs="仿宋_GB2312"/>
          <w:szCs w:val="28"/>
        </w:rPr>
        <w:t>份，乙方</w:t>
      </w:r>
      <w:r>
        <w:rPr>
          <w:rFonts w:hint="eastAsia" w:ascii="仿宋" w:hAnsi="仿宋" w:eastAsia="仿宋" w:cs="仿宋_GB2312"/>
          <w:b/>
          <w:szCs w:val="28"/>
          <w:u w:val="single"/>
        </w:rPr>
        <w:t xml:space="preserve"> 贰 </w:t>
      </w:r>
      <w:r>
        <w:rPr>
          <w:rFonts w:hint="eastAsia" w:ascii="仿宋" w:hAnsi="仿宋" w:eastAsia="仿宋" w:cs="仿宋_GB2312"/>
          <w:szCs w:val="28"/>
        </w:rPr>
        <w:t>份。</w:t>
      </w:r>
    </w:p>
    <w:p>
      <w:pPr>
        <w:pStyle w:val="11"/>
        <w:ind w:left="0" w:leftChars="0" w:firstLine="560" w:firstLineChars="200"/>
        <w:rPr>
          <w:rFonts w:ascii="仿宋" w:hAnsi="仿宋" w:eastAsia="仿宋" w:cs="仿宋_GB2312"/>
          <w:sz w:val="28"/>
          <w:szCs w:val="28"/>
        </w:rPr>
      </w:pPr>
      <w:r>
        <w:rPr>
          <w:rFonts w:hint="eastAsia" w:ascii="仿宋" w:hAnsi="仿宋" w:eastAsia="仿宋" w:cs="仿宋_GB2312"/>
          <w:sz w:val="28"/>
          <w:szCs w:val="28"/>
        </w:rPr>
        <w:t xml:space="preserve">（二）协议有效期两年，合同一年一签。若合同双方无异议，双方应在本合同有效期满前30日内完成续签合同的签署，否则视为协议自动终止，续签合同内容、条款和条件应与当前合同保持一致，除非经双方协商一致并以书面形式确认。 </w:t>
      </w:r>
    </w:p>
    <w:p>
      <w:pPr>
        <w:pStyle w:val="30"/>
        <w:snapToGrid/>
        <w:spacing w:line="240" w:lineRule="auto"/>
        <w:ind w:firstLineChars="200"/>
        <w:rPr>
          <w:rFonts w:ascii="仿宋" w:hAnsi="仿宋" w:eastAsia="仿宋" w:cs="仿宋_GB2312"/>
          <w:szCs w:val="28"/>
        </w:rPr>
      </w:pPr>
      <w:r>
        <w:rPr>
          <w:rFonts w:hint="eastAsia" w:ascii="仿宋" w:hAnsi="仿宋" w:eastAsia="仿宋" w:cs="仿宋_GB2312"/>
          <w:szCs w:val="28"/>
        </w:rPr>
        <w:t>（三）本合同未尽事宜，按中华人民共和国有关法律、法规办理。</w:t>
      </w:r>
    </w:p>
    <w:p>
      <w:pPr>
        <w:rPr>
          <w:rFonts w:ascii="仿宋" w:hAnsi="仿宋" w:eastAsia="仿宋" w:cs="仿宋_GB2312"/>
          <w:sz w:val="28"/>
          <w:szCs w:val="28"/>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附件：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一、维保服务技术要求</w:t>
      </w:r>
    </w:p>
    <w:p>
      <w:pPr>
        <w:tabs>
          <w:tab w:val="center" w:pos="4252"/>
        </w:tabs>
        <w:ind w:firstLine="560" w:firstLineChars="200"/>
        <w:jc w:val="left"/>
        <w:rPr>
          <w:rFonts w:ascii="仿宋" w:hAnsi="仿宋" w:eastAsia="仿宋" w:cs="仿宋_GB2312"/>
          <w:sz w:val="28"/>
          <w:szCs w:val="28"/>
        </w:rPr>
      </w:pPr>
      <w:r>
        <w:rPr>
          <w:rFonts w:hint="eastAsia" w:ascii="仿宋" w:hAnsi="仿宋" w:eastAsia="仿宋" w:cs="仿宋_GB2312"/>
          <w:sz w:val="28"/>
          <w:szCs w:val="28"/>
        </w:rPr>
        <w:t>二、</w:t>
      </w:r>
      <w:r>
        <w:rPr>
          <w:rFonts w:hint="eastAsia" w:ascii="仿宋" w:hAnsi="仿宋" w:eastAsia="仿宋" w:cs="仿宋_GB2312"/>
          <w:bCs/>
          <w:sz w:val="28"/>
          <w:szCs w:val="28"/>
        </w:rPr>
        <w:t>维护服务技术人员情况表</w:t>
      </w:r>
    </w:p>
    <w:p>
      <w:pPr>
        <w:tabs>
          <w:tab w:val="center" w:pos="4252"/>
        </w:tabs>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三、自助设备维修记录表</w:t>
      </w:r>
    </w:p>
    <w:p>
      <w:pPr>
        <w:tabs>
          <w:tab w:val="center" w:pos="4252"/>
        </w:tabs>
        <w:ind w:firstLine="560" w:firstLineChars="200"/>
        <w:jc w:val="left"/>
        <w:rPr>
          <w:rFonts w:ascii="仿宋" w:hAnsi="仿宋" w:eastAsia="仿宋" w:cs="仿宋_GB2312"/>
          <w:sz w:val="28"/>
          <w:szCs w:val="28"/>
        </w:rPr>
      </w:pPr>
      <w:r>
        <w:rPr>
          <w:rFonts w:hint="eastAsia" w:ascii="仿宋" w:hAnsi="仿宋" w:eastAsia="仿宋" w:cs="仿宋_GB2312"/>
          <w:sz w:val="28"/>
          <w:szCs w:val="28"/>
        </w:rPr>
        <w:t>四、自助设备维修记录档案卡</w:t>
      </w:r>
    </w:p>
    <w:p>
      <w:pPr>
        <w:tabs>
          <w:tab w:val="center" w:pos="4252"/>
        </w:tabs>
        <w:ind w:firstLine="560" w:firstLineChars="200"/>
        <w:jc w:val="left"/>
        <w:rPr>
          <w:rFonts w:ascii="仿宋" w:hAnsi="仿宋" w:eastAsia="仿宋" w:cs="仿宋_GB2312"/>
          <w:sz w:val="28"/>
          <w:szCs w:val="28"/>
        </w:rPr>
      </w:pPr>
      <w:r>
        <w:rPr>
          <w:rFonts w:hint="eastAsia" w:ascii="仿宋" w:hAnsi="仿宋" w:eastAsia="仿宋" w:cs="仿宋_GB2312"/>
          <w:sz w:val="28"/>
          <w:szCs w:val="28"/>
        </w:rPr>
        <w:t>五、服务商监督考核评价打分表</w:t>
      </w:r>
    </w:p>
    <w:p>
      <w:pPr>
        <w:tabs>
          <w:tab w:val="center" w:pos="4252"/>
        </w:tabs>
        <w:ind w:firstLine="560" w:firstLineChars="200"/>
        <w:jc w:val="left"/>
        <w:rPr>
          <w:rFonts w:ascii="仿宋" w:hAnsi="仿宋" w:eastAsia="仿宋" w:cs="仿宋_GB2312"/>
          <w:sz w:val="28"/>
          <w:szCs w:val="28"/>
        </w:rPr>
      </w:pPr>
    </w:p>
    <w:p>
      <w:pPr>
        <w:tabs>
          <w:tab w:val="center" w:pos="4252"/>
        </w:tabs>
        <w:ind w:firstLine="560" w:firstLineChars="200"/>
        <w:jc w:val="left"/>
        <w:rPr>
          <w:rFonts w:ascii="仿宋" w:hAnsi="仿宋" w:eastAsia="仿宋" w:cs="仿宋_GB2312"/>
          <w:sz w:val="28"/>
          <w:szCs w:val="28"/>
        </w:rPr>
      </w:pPr>
    </w:p>
    <w:p>
      <w:pPr>
        <w:tabs>
          <w:tab w:val="center" w:pos="4252"/>
        </w:tabs>
        <w:ind w:firstLine="560" w:firstLineChars="200"/>
        <w:jc w:val="left"/>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甲方（盖章）：                        乙方（盖章）：</w:t>
      </w:r>
    </w:p>
    <w:p>
      <w:pPr>
        <w:tabs>
          <w:tab w:val="left" w:pos="2685"/>
        </w:tabs>
        <w:ind w:left="1260"/>
        <w:rPr>
          <w:rFonts w:ascii="仿宋" w:hAnsi="仿宋" w:eastAsia="仿宋" w:cs="仿宋_GB2312"/>
          <w:sz w:val="28"/>
          <w:szCs w:val="28"/>
        </w:rPr>
      </w:pPr>
      <w:r>
        <w:rPr>
          <w:rFonts w:hint="eastAsia" w:ascii="仿宋" w:hAnsi="仿宋" w:eastAsia="仿宋" w:cs="仿宋_GB2312"/>
          <w:sz w:val="28"/>
          <w:szCs w:val="28"/>
        </w:rPr>
        <w:tab/>
      </w:r>
    </w:p>
    <w:p>
      <w:pPr>
        <w:jc w:val="left"/>
        <w:rPr>
          <w:rFonts w:ascii="仿宋" w:hAnsi="仿宋" w:eastAsia="仿宋" w:cs="仿宋_GB2312"/>
          <w:sz w:val="28"/>
          <w:szCs w:val="28"/>
        </w:rPr>
      </w:pPr>
      <w:r>
        <w:rPr>
          <w:rFonts w:hint="eastAsia" w:ascii="仿宋" w:hAnsi="仿宋" w:eastAsia="仿宋" w:cs="仿宋_GB2312"/>
          <w:sz w:val="28"/>
          <w:szCs w:val="28"/>
        </w:rPr>
        <w:t xml:space="preserve">法定代表人或授权代理人：              法定代表人或授权代理人： </w:t>
      </w: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签字日期：                      </w:t>
      </w:r>
      <w:r>
        <w:rPr>
          <w:rFonts w:hint="eastAsia" w:ascii="仿宋" w:hAnsi="仿宋" w:eastAsia="仿宋" w:cs="仿宋_GB2312"/>
          <w:sz w:val="28"/>
          <w:szCs w:val="28"/>
        </w:rPr>
        <w:tab/>
      </w:r>
      <w:r>
        <w:rPr>
          <w:rFonts w:hint="eastAsia" w:ascii="仿宋" w:hAnsi="仿宋" w:eastAsia="仿宋" w:cs="仿宋_GB2312"/>
          <w:sz w:val="28"/>
          <w:szCs w:val="28"/>
        </w:rPr>
        <w:tab/>
      </w:r>
      <w:r>
        <w:rPr>
          <w:rFonts w:hint="eastAsia" w:ascii="仿宋" w:hAnsi="仿宋" w:eastAsia="仿宋" w:cs="仿宋_GB2312"/>
          <w:sz w:val="28"/>
          <w:szCs w:val="28"/>
        </w:rPr>
        <w:t xml:space="preserve">  签字日期</w:t>
      </w:r>
    </w:p>
    <w:p>
      <w:pPr>
        <w:pStyle w:val="2"/>
      </w:pPr>
    </w:p>
    <w:p>
      <w:pPr>
        <w:pStyle w:val="2"/>
      </w:pPr>
    </w:p>
    <w:p>
      <w:pPr>
        <w:pStyle w:val="2"/>
      </w:pPr>
    </w:p>
    <w:p>
      <w:pPr>
        <w:pStyle w:val="2"/>
      </w:pPr>
    </w:p>
    <w:p>
      <w:pPr>
        <w:spacing w:line="480" w:lineRule="exact"/>
        <w:jc w:val="left"/>
        <w:rPr>
          <w:rFonts w:ascii="仿宋_GB2312" w:hAnsi="仿宋_GB2312" w:eastAsia="仿宋_GB2312" w:cs="仿宋_GB2312"/>
          <w:sz w:val="24"/>
          <w:szCs w:val="24"/>
        </w:rPr>
      </w:pPr>
      <w:r>
        <w:rPr>
          <w:rFonts w:hint="eastAsia" w:ascii="仿宋" w:hAnsi="仿宋" w:eastAsia="仿宋" w:cs="仿宋_GB2312"/>
          <w:sz w:val="28"/>
          <w:szCs w:val="28"/>
        </w:rPr>
        <w:t>附件一：</w:t>
      </w:r>
      <w:r>
        <w:rPr>
          <w:rFonts w:ascii="仿宋_GB2312" w:hAnsi="仿宋_GB2312" w:eastAsia="仿宋_GB2312" w:cs="仿宋_GB2312"/>
          <w:sz w:val="24"/>
          <w:szCs w:val="24"/>
        </w:rPr>
        <w:t xml:space="preserve"> </w:t>
      </w:r>
    </w:p>
    <w:p>
      <w:pPr>
        <w:spacing w:line="480" w:lineRule="exact"/>
        <w:jc w:val="center"/>
        <w:rPr>
          <w:rFonts w:ascii="仿宋_GB2312" w:hAnsi="仿宋_GB2312" w:eastAsia="仿宋_GB2312" w:cs="仿宋_GB2312"/>
          <w:b/>
          <w:sz w:val="24"/>
          <w:szCs w:val="24"/>
        </w:rPr>
      </w:pPr>
      <w:r>
        <w:rPr>
          <w:rFonts w:hint="eastAsia" w:ascii="仿宋" w:hAnsi="仿宋" w:eastAsia="仿宋" w:cs="仿宋_GB2312"/>
          <w:b/>
          <w:sz w:val="28"/>
          <w:szCs w:val="28"/>
        </w:rPr>
        <w:t>维保服务技术要求</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1、技术支持服务: 供应商应提供7*24小时电话技术支持服务和咨询服务。</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2、现场维修服务：电话支持不能排除故障时,工程师应携带有关备件提供现场维修服务。现场维修工程师须如实填写维修记录表，并经医院方（使用方）签字盖章确认。</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3、系统升级服务：供应商应免费提供操作系统、防病毒软件等系统安装升级服务，且应保证介质无病毒、木马等有害程序；在设备软件升级改造增加新功能时，供应商应负责提供技术支持。</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4、预防性维护服务（PM）：供应商应每季度免费提供一次现场设备巡检和预防性维护, 对整个设备各部件进行清洁、除尘,对各模块性能进行检查和调整,对磨损或隐患部件进行更换等，每次维修及PM完成之后，维护工程师须在维修纪录档案卡上做好相应记录。</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5、定期向行方提交设备运行情况及分析报告,内容包括:运行情况及维修情况,故障部件及老化部件更换情况,对设备管理的建议等内容。</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6、供应商应定期提供规范的专业技术培训，至少每半年1次，使行方现场维服人员了解和掌握设备的性能和操作，并能解决设备的常见问题。</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供应商应以100台设备至少配备一名维护工程师为最低标准提供相应的维保服务。所配备维护工程师须与供应商具有劳动合同关系，供应商不得将我行的设备维护工作通过转包或授权的方式交由第三方承担，我方有权对维护工程师的相关信息进行核查。</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8、其他</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（1）供应商应在设备移机时提供现场支持服务。</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（2）供应商应建立完善的设备档案制度，使设备在使用、保养、维护等方面始终处于受控状态，保证行方能及时了解每台设备的使用情况。</w:t>
      </w:r>
    </w:p>
    <w:p>
      <w:pPr>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（3）供应商应协助行方完善设备的操作管理规程，健全设备管理制度。</w:t>
      </w:r>
    </w:p>
    <w:p>
      <w:pPr>
        <w:spacing w:line="480" w:lineRule="exact"/>
        <w:ind w:firstLine="480" w:firstLineChars="200"/>
        <w:jc w:val="left"/>
        <w:rPr>
          <w:rFonts w:ascii="仿宋_GB2312" w:hAnsi="仿宋_GB2312" w:eastAsia="仿宋_GB2312" w:cs="仿宋_GB2312"/>
          <w:sz w:val="24"/>
          <w:szCs w:val="24"/>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4"/>
          <w:szCs w:val="24"/>
        </w:rPr>
        <w:t>（4）供应商应建立意见反馈渠道，对行方及合作医院（使用方）提出的意见及时处理解决及反馈。</w:t>
      </w:r>
    </w:p>
    <w:p>
      <w:pPr>
        <w:spacing w:line="480" w:lineRule="exact"/>
        <w:jc w:val="left"/>
        <w:rPr>
          <w:rFonts w:ascii="仿宋" w:hAnsi="仿宋" w:eastAsia="仿宋" w:cs="仿宋_GB2312"/>
          <w:bCs/>
          <w:sz w:val="28"/>
          <w:szCs w:val="28"/>
        </w:rPr>
      </w:pPr>
      <w:r>
        <w:rPr>
          <w:rFonts w:hint="eastAsia" w:ascii="仿宋" w:hAnsi="仿宋" w:eastAsia="仿宋" w:cs="仿宋_GB2312"/>
          <w:sz w:val="28"/>
          <w:szCs w:val="28"/>
        </w:rPr>
        <w:t>附件二：</w:t>
      </w:r>
      <w:r>
        <w:rPr>
          <w:rFonts w:ascii="仿宋" w:hAnsi="仿宋" w:eastAsia="仿宋" w:cs="仿宋_GB2312"/>
          <w:bCs/>
          <w:sz w:val="28"/>
          <w:szCs w:val="28"/>
        </w:rPr>
        <w:t xml:space="preserve"> </w:t>
      </w:r>
    </w:p>
    <w:p>
      <w:pPr>
        <w:pStyle w:val="2"/>
        <w:jc w:val="center"/>
        <w:rPr>
          <w:b/>
        </w:rPr>
      </w:pPr>
      <w:r>
        <w:rPr>
          <w:rFonts w:hint="eastAsia" w:ascii="仿宋" w:hAnsi="仿宋" w:eastAsia="仿宋" w:cs="仿宋_GB2312"/>
          <w:b/>
          <w:bCs/>
          <w:sz w:val="28"/>
          <w:szCs w:val="28"/>
        </w:rPr>
        <w:t>维护服务技术人员情况表</w:t>
      </w:r>
    </w:p>
    <w:p>
      <w:pPr>
        <w:spacing w:line="48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报修热线：           联系人：              联系电话：            维护服务车辆牌号：</w:t>
      </w:r>
      <w:r>
        <w:rPr>
          <w:rFonts w:ascii="仿宋_GB2312" w:hAnsi="仿宋_GB2312" w:eastAsia="仿宋_GB2312" w:cs="仿宋_GB2312"/>
          <w:sz w:val="24"/>
          <w:szCs w:val="24"/>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585"/>
        <w:gridCol w:w="2633"/>
        <w:gridCol w:w="2620"/>
        <w:gridCol w:w="1322"/>
        <w:gridCol w:w="767"/>
        <w:gridCol w:w="163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1"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585"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联系电话</w:t>
            </w:r>
          </w:p>
        </w:tc>
        <w:tc>
          <w:tcPr>
            <w:tcW w:w="2633"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公司邮箱</w:t>
            </w:r>
          </w:p>
        </w:tc>
        <w:tc>
          <w:tcPr>
            <w:tcW w:w="2620"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w:t>
            </w:r>
          </w:p>
        </w:tc>
        <w:tc>
          <w:tcPr>
            <w:tcW w:w="1322"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工作证号</w:t>
            </w:r>
          </w:p>
        </w:tc>
        <w:tc>
          <w:tcPr>
            <w:tcW w:w="767"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籍贯</w:t>
            </w:r>
          </w:p>
        </w:tc>
        <w:tc>
          <w:tcPr>
            <w:tcW w:w="1633"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入职时间</w:t>
            </w:r>
          </w:p>
        </w:tc>
        <w:tc>
          <w:tcPr>
            <w:tcW w:w="1567" w:type="dxa"/>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restart"/>
            <w:vAlign w:val="center"/>
          </w:tcPr>
          <w:p>
            <w:pPr>
              <w:widowControl/>
              <w:spacing w:line="36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continue"/>
            <w:vAlign w:val="center"/>
          </w:tcPr>
          <w:p>
            <w:pPr>
              <w:widowControl/>
              <w:spacing w:line="36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continue"/>
            <w:vAlign w:val="center"/>
          </w:tcPr>
          <w:p>
            <w:pPr>
              <w:widowControl/>
              <w:spacing w:line="36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continue"/>
            <w:vAlign w:val="center"/>
          </w:tcPr>
          <w:p>
            <w:pPr>
              <w:widowControl/>
              <w:spacing w:line="36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continue"/>
            <w:vAlign w:val="center"/>
          </w:tcPr>
          <w:p>
            <w:pPr>
              <w:widowControl/>
              <w:spacing w:line="36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continue"/>
            <w:vAlign w:val="center"/>
          </w:tcPr>
          <w:p>
            <w:pPr>
              <w:widowControl/>
              <w:spacing w:line="36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continue"/>
            <w:vAlign w:val="center"/>
          </w:tcPr>
          <w:p>
            <w:pPr>
              <w:widowControl/>
              <w:spacing w:line="360" w:lineRule="exact"/>
              <w:jc w:val="lef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1" w:type="dxa"/>
            <w:noWrap/>
            <w:vAlign w:val="center"/>
          </w:tcPr>
          <w:p>
            <w:pPr>
              <w:widowControl/>
              <w:spacing w:line="360" w:lineRule="exact"/>
              <w:jc w:val="center"/>
              <w:rPr>
                <w:rFonts w:ascii="仿宋_GB2312" w:hAnsi="仿宋_GB2312" w:eastAsia="仿宋_GB2312" w:cs="仿宋_GB2312"/>
                <w:b/>
                <w:bCs/>
                <w:kern w:val="0"/>
                <w:sz w:val="24"/>
                <w:szCs w:val="24"/>
              </w:rPr>
            </w:pPr>
          </w:p>
        </w:tc>
        <w:tc>
          <w:tcPr>
            <w:tcW w:w="1585" w:type="dxa"/>
            <w:noWrap/>
            <w:vAlign w:val="center"/>
          </w:tcPr>
          <w:p>
            <w:pPr>
              <w:widowControl/>
              <w:spacing w:line="360" w:lineRule="exact"/>
              <w:jc w:val="center"/>
              <w:rPr>
                <w:rFonts w:ascii="仿宋_GB2312" w:hAnsi="仿宋_GB2312" w:eastAsia="仿宋_GB2312" w:cs="仿宋_GB2312"/>
                <w:kern w:val="0"/>
                <w:sz w:val="24"/>
                <w:szCs w:val="24"/>
              </w:rPr>
            </w:pPr>
          </w:p>
        </w:tc>
        <w:tc>
          <w:tcPr>
            <w:tcW w:w="2633" w:type="dxa"/>
            <w:noWrap/>
            <w:vAlign w:val="center"/>
          </w:tcPr>
          <w:p>
            <w:pPr>
              <w:widowControl/>
              <w:spacing w:line="360" w:lineRule="exact"/>
              <w:jc w:val="center"/>
              <w:rPr>
                <w:rFonts w:ascii="仿宋_GB2312" w:hAnsi="仿宋_GB2312" w:eastAsia="仿宋_GB2312" w:cs="仿宋_GB2312"/>
                <w:kern w:val="0"/>
                <w:sz w:val="24"/>
                <w:szCs w:val="24"/>
              </w:rPr>
            </w:pPr>
          </w:p>
        </w:tc>
        <w:tc>
          <w:tcPr>
            <w:tcW w:w="2620" w:type="dxa"/>
            <w:noWrap/>
            <w:vAlign w:val="center"/>
          </w:tcPr>
          <w:p>
            <w:pPr>
              <w:widowControl/>
              <w:spacing w:line="360" w:lineRule="exact"/>
              <w:jc w:val="center"/>
              <w:rPr>
                <w:rFonts w:ascii="仿宋_GB2312" w:hAnsi="仿宋_GB2312" w:eastAsia="仿宋_GB2312" w:cs="仿宋_GB2312"/>
                <w:kern w:val="0"/>
                <w:sz w:val="24"/>
                <w:szCs w:val="24"/>
              </w:rPr>
            </w:pPr>
          </w:p>
        </w:tc>
        <w:tc>
          <w:tcPr>
            <w:tcW w:w="1322" w:type="dxa"/>
            <w:noWrap/>
            <w:vAlign w:val="center"/>
          </w:tcPr>
          <w:p>
            <w:pPr>
              <w:widowControl/>
              <w:spacing w:line="360" w:lineRule="exact"/>
              <w:jc w:val="center"/>
              <w:rPr>
                <w:rFonts w:ascii="仿宋_GB2312" w:hAnsi="仿宋_GB2312" w:eastAsia="仿宋_GB2312" w:cs="仿宋_GB2312"/>
                <w:kern w:val="0"/>
                <w:sz w:val="24"/>
                <w:szCs w:val="24"/>
              </w:rPr>
            </w:pPr>
          </w:p>
        </w:tc>
        <w:tc>
          <w:tcPr>
            <w:tcW w:w="767" w:type="dxa"/>
            <w:vAlign w:val="center"/>
          </w:tcPr>
          <w:p>
            <w:pPr>
              <w:widowControl/>
              <w:spacing w:line="360" w:lineRule="exact"/>
              <w:jc w:val="center"/>
              <w:rPr>
                <w:rFonts w:ascii="仿宋_GB2312" w:hAnsi="仿宋_GB2312" w:eastAsia="仿宋_GB2312" w:cs="仿宋_GB2312"/>
                <w:kern w:val="0"/>
                <w:sz w:val="24"/>
                <w:szCs w:val="24"/>
              </w:rPr>
            </w:pPr>
          </w:p>
        </w:tc>
        <w:tc>
          <w:tcPr>
            <w:tcW w:w="1633" w:type="dxa"/>
            <w:noWrap/>
            <w:vAlign w:val="center"/>
          </w:tcPr>
          <w:p>
            <w:pPr>
              <w:widowControl/>
              <w:spacing w:line="360" w:lineRule="exact"/>
              <w:jc w:val="center"/>
              <w:rPr>
                <w:rFonts w:ascii="仿宋_GB2312" w:hAnsi="仿宋_GB2312" w:eastAsia="仿宋_GB2312" w:cs="仿宋_GB2312"/>
                <w:kern w:val="0"/>
                <w:sz w:val="24"/>
                <w:szCs w:val="24"/>
              </w:rPr>
            </w:pPr>
          </w:p>
        </w:tc>
        <w:tc>
          <w:tcPr>
            <w:tcW w:w="1567" w:type="dxa"/>
            <w:vMerge w:val="continue"/>
            <w:vAlign w:val="center"/>
          </w:tcPr>
          <w:p>
            <w:pPr>
              <w:widowControl/>
              <w:spacing w:line="360" w:lineRule="exact"/>
              <w:jc w:val="left"/>
              <w:rPr>
                <w:rFonts w:ascii="仿宋_GB2312" w:hAnsi="仿宋_GB2312" w:eastAsia="仿宋_GB2312" w:cs="仿宋_GB2312"/>
                <w:kern w:val="0"/>
                <w:sz w:val="24"/>
                <w:szCs w:val="24"/>
              </w:rPr>
            </w:pPr>
          </w:p>
        </w:tc>
      </w:tr>
    </w:tbl>
    <w:p>
      <w:pPr>
        <w:spacing w:line="480" w:lineRule="exact"/>
        <w:ind w:firstLine="360" w:firstLineChars="150"/>
        <w:rPr>
          <w:rFonts w:ascii="仿宋_GB2312" w:hAnsi="仿宋_GB2312" w:eastAsia="仿宋_GB2312" w:cs="仿宋_GB2312"/>
          <w:sz w:val="24"/>
          <w:szCs w:val="24"/>
        </w:rPr>
        <w:sectPr>
          <w:pgSz w:w="16838" w:h="11906" w:orient="landscape"/>
          <w:pgMar w:top="1800" w:right="1440" w:bottom="1800" w:left="1440" w:header="851" w:footer="992" w:gutter="0"/>
          <w:cols w:space="720" w:num="1"/>
          <w:docGrid w:type="lines" w:linePitch="312" w:charSpace="0"/>
        </w:sectPr>
      </w:pPr>
      <w:r>
        <w:rPr>
          <w:rFonts w:hint="eastAsia" w:ascii="仿宋_GB2312" w:hAnsi="仿宋_GB2312" w:eastAsia="仿宋_GB2312" w:cs="仿宋_GB2312"/>
          <w:sz w:val="24"/>
          <w:szCs w:val="24"/>
        </w:rPr>
        <w:t>附：身份证复印件、相关资质证明、2寸照片</w:t>
      </w:r>
    </w:p>
    <w:p>
      <w:pPr>
        <w:spacing w:line="480" w:lineRule="exact"/>
        <w:jc w:val="left"/>
        <w:rPr>
          <w:rFonts w:ascii="仿宋_GB2312" w:hAnsi="仿宋_GB2312" w:eastAsia="仿宋_GB2312" w:cs="仿宋_GB2312"/>
          <w:sz w:val="24"/>
          <w:szCs w:val="24"/>
        </w:rPr>
      </w:pPr>
      <w:r>
        <w:rPr>
          <w:rFonts w:hint="eastAsia" w:ascii="仿宋" w:hAnsi="仿宋" w:eastAsia="仿宋" w:cs="仿宋_GB2312"/>
          <w:sz w:val="28"/>
          <w:szCs w:val="28"/>
        </w:rPr>
        <w:t>附件三：</w:t>
      </w:r>
      <w:r>
        <w:rPr>
          <w:rFonts w:ascii="仿宋_GB2312" w:hAnsi="仿宋_GB2312" w:eastAsia="仿宋_GB2312" w:cs="仿宋_GB2312"/>
          <w:sz w:val="24"/>
          <w:szCs w:val="24"/>
        </w:rPr>
        <w:t xml:space="preserve"> </w:t>
      </w:r>
    </w:p>
    <w:p>
      <w:pPr>
        <w:spacing w:line="4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昆山农商银行银医通</w:t>
      </w:r>
      <w:r>
        <w:rPr>
          <w:rFonts w:hint="eastAsia" w:ascii="仿宋_GB2312" w:hAnsi="仿宋_GB2312" w:eastAsia="仿宋_GB2312" w:cs="仿宋_GB2312"/>
          <w:b/>
          <w:bCs/>
          <w:sz w:val="28"/>
          <w:szCs w:val="28"/>
        </w:rPr>
        <w:t>自助设备维修记录表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900"/>
        <w:gridCol w:w="1871"/>
        <w:gridCol w:w="180"/>
        <w:gridCol w:w="1312"/>
        <w:gridCol w:w="1028"/>
        <w:gridCol w:w="39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维保公司名称</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49" w:type="dxa"/>
            <w:gridSpan w:val="2"/>
            <w:vMerge w:val="restart"/>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医院名称</w:t>
            </w:r>
          </w:p>
        </w:tc>
        <w:tc>
          <w:tcPr>
            <w:tcW w:w="2051" w:type="dxa"/>
            <w:gridSpan w:val="2"/>
            <w:vMerge w:val="restart"/>
            <w:vAlign w:val="center"/>
          </w:tcPr>
          <w:p>
            <w:pPr>
              <w:spacing w:line="360" w:lineRule="exact"/>
              <w:jc w:val="center"/>
              <w:rPr>
                <w:rFonts w:ascii="仿宋_GB2312" w:hAnsi="仿宋_GB2312" w:eastAsia="仿宋_GB2312" w:cs="仿宋_GB2312"/>
                <w:sz w:val="24"/>
                <w:szCs w:val="24"/>
              </w:rPr>
            </w:pPr>
          </w:p>
        </w:tc>
        <w:tc>
          <w:tcPr>
            <w:tcW w:w="2340"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报修时间</w:t>
            </w:r>
          </w:p>
        </w:tc>
        <w:tc>
          <w:tcPr>
            <w:tcW w:w="1800"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49" w:type="dxa"/>
            <w:gridSpan w:val="2"/>
            <w:vMerge w:val="continue"/>
            <w:vAlign w:val="center"/>
          </w:tcPr>
          <w:p>
            <w:pPr>
              <w:spacing w:line="360" w:lineRule="exact"/>
              <w:jc w:val="center"/>
              <w:rPr>
                <w:rFonts w:ascii="仿宋_GB2312" w:hAnsi="仿宋_GB2312" w:eastAsia="仿宋_GB2312" w:cs="仿宋_GB2312"/>
                <w:sz w:val="24"/>
                <w:szCs w:val="24"/>
              </w:rPr>
            </w:pPr>
          </w:p>
        </w:tc>
        <w:tc>
          <w:tcPr>
            <w:tcW w:w="2051" w:type="dxa"/>
            <w:gridSpan w:val="2"/>
            <w:vMerge w:val="continue"/>
            <w:vAlign w:val="center"/>
          </w:tcPr>
          <w:p>
            <w:pPr>
              <w:spacing w:line="360" w:lineRule="exact"/>
              <w:jc w:val="center"/>
              <w:rPr>
                <w:rFonts w:ascii="仿宋_GB2312" w:hAnsi="仿宋_GB2312" w:eastAsia="仿宋_GB2312" w:cs="仿宋_GB2312"/>
                <w:sz w:val="24"/>
                <w:szCs w:val="24"/>
              </w:rPr>
            </w:pPr>
          </w:p>
        </w:tc>
        <w:tc>
          <w:tcPr>
            <w:tcW w:w="2340"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800" w:type="dxa"/>
            <w:gridSpan w:val="2"/>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 系 人</w:t>
            </w:r>
          </w:p>
        </w:tc>
        <w:tc>
          <w:tcPr>
            <w:tcW w:w="2051" w:type="dxa"/>
            <w:gridSpan w:val="2"/>
            <w:vAlign w:val="center"/>
          </w:tcPr>
          <w:p>
            <w:pPr>
              <w:spacing w:line="360" w:lineRule="exact"/>
              <w:jc w:val="center"/>
              <w:rPr>
                <w:rFonts w:ascii="仿宋_GB2312" w:hAnsi="仿宋_GB2312" w:eastAsia="仿宋_GB2312" w:cs="仿宋_GB2312"/>
                <w:sz w:val="24"/>
                <w:szCs w:val="24"/>
              </w:rPr>
            </w:pPr>
          </w:p>
        </w:tc>
        <w:tc>
          <w:tcPr>
            <w:tcW w:w="2340"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自助设备型号/编号</w:t>
            </w:r>
          </w:p>
        </w:tc>
        <w:tc>
          <w:tcPr>
            <w:tcW w:w="1800" w:type="dxa"/>
            <w:gridSpan w:val="2"/>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医院地址</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故障分析</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解决方案</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49" w:type="dxa"/>
            <w:vMerge w:val="restart"/>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硬</w:t>
            </w:r>
          </w:p>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件</w:t>
            </w:r>
          </w:p>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w:t>
            </w:r>
          </w:p>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护</w:t>
            </w:r>
          </w:p>
        </w:tc>
        <w:tc>
          <w:tcPr>
            <w:tcW w:w="1900" w:type="dxa"/>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读 卡 器</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49" w:type="dxa"/>
            <w:vMerge w:val="continue"/>
            <w:vAlign w:val="center"/>
          </w:tcPr>
          <w:p>
            <w:pPr>
              <w:spacing w:line="360" w:lineRule="exact"/>
              <w:jc w:val="center"/>
              <w:rPr>
                <w:rFonts w:ascii="仿宋_GB2312" w:hAnsi="仿宋_GB2312" w:eastAsia="仿宋_GB2312" w:cs="仿宋_GB2312"/>
                <w:sz w:val="24"/>
                <w:szCs w:val="24"/>
              </w:rPr>
            </w:pPr>
          </w:p>
        </w:tc>
        <w:tc>
          <w:tcPr>
            <w:tcW w:w="1900" w:type="dxa"/>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打印机</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49" w:type="dxa"/>
            <w:vMerge w:val="continue"/>
            <w:vAlign w:val="center"/>
          </w:tcPr>
          <w:p>
            <w:pPr>
              <w:spacing w:line="360" w:lineRule="exact"/>
              <w:jc w:val="center"/>
              <w:rPr>
                <w:rFonts w:ascii="仿宋_GB2312" w:hAnsi="仿宋_GB2312" w:eastAsia="仿宋_GB2312" w:cs="仿宋_GB2312"/>
                <w:sz w:val="24"/>
                <w:szCs w:val="24"/>
              </w:rPr>
            </w:pPr>
          </w:p>
        </w:tc>
        <w:tc>
          <w:tcPr>
            <w:tcW w:w="1900" w:type="dxa"/>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显 示 器</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49" w:type="dxa"/>
            <w:vMerge w:val="continue"/>
            <w:vAlign w:val="center"/>
          </w:tcPr>
          <w:p>
            <w:pPr>
              <w:spacing w:line="360" w:lineRule="exact"/>
              <w:jc w:val="center"/>
              <w:rPr>
                <w:rFonts w:ascii="仿宋_GB2312" w:hAnsi="仿宋_GB2312" w:eastAsia="仿宋_GB2312" w:cs="仿宋_GB2312"/>
                <w:sz w:val="24"/>
                <w:szCs w:val="24"/>
              </w:rPr>
            </w:pPr>
          </w:p>
        </w:tc>
        <w:tc>
          <w:tcPr>
            <w:tcW w:w="1900" w:type="dxa"/>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钞箱</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49" w:type="dxa"/>
            <w:vMerge w:val="continue"/>
            <w:vAlign w:val="center"/>
          </w:tcPr>
          <w:p>
            <w:pPr>
              <w:spacing w:line="360" w:lineRule="exact"/>
              <w:jc w:val="center"/>
              <w:rPr>
                <w:rFonts w:ascii="仿宋_GB2312" w:hAnsi="仿宋_GB2312" w:eastAsia="仿宋_GB2312" w:cs="仿宋_GB2312"/>
                <w:sz w:val="24"/>
                <w:szCs w:val="24"/>
              </w:rPr>
            </w:pPr>
          </w:p>
        </w:tc>
        <w:tc>
          <w:tcPr>
            <w:tcW w:w="1900" w:type="dxa"/>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  源</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49" w:type="dxa"/>
            <w:vMerge w:val="continue"/>
            <w:vAlign w:val="center"/>
          </w:tcPr>
          <w:p>
            <w:pPr>
              <w:spacing w:line="360" w:lineRule="exact"/>
              <w:jc w:val="center"/>
              <w:rPr>
                <w:rFonts w:ascii="仿宋_GB2312" w:hAnsi="仿宋_GB2312" w:eastAsia="仿宋_GB2312" w:cs="仿宋_GB2312"/>
                <w:sz w:val="24"/>
                <w:szCs w:val="24"/>
              </w:rPr>
            </w:pPr>
          </w:p>
        </w:tc>
        <w:tc>
          <w:tcPr>
            <w:tcW w:w="1900" w:type="dxa"/>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其它部件</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软件维护</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    注</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工程师签名</w:t>
            </w:r>
          </w:p>
        </w:tc>
        <w:tc>
          <w:tcPr>
            <w:tcW w:w="6191" w:type="dxa"/>
            <w:gridSpan w:val="6"/>
            <w:vAlign w:val="center"/>
          </w:tcPr>
          <w:p>
            <w:pPr>
              <w:spacing w:line="3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40" w:type="dxa"/>
            <w:gridSpan w:val="8"/>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以 下 由 医 院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工程师到场时间</w:t>
            </w:r>
          </w:p>
        </w:tc>
        <w:tc>
          <w:tcPr>
            <w:tcW w:w="6191" w:type="dxa"/>
            <w:gridSpan w:val="6"/>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本次维修时间</w:t>
            </w:r>
          </w:p>
        </w:tc>
        <w:tc>
          <w:tcPr>
            <w:tcW w:w="6191" w:type="dxa"/>
            <w:gridSpan w:val="6"/>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月   日   时  分 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意见反馈(请打√)</w:t>
            </w:r>
          </w:p>
        </w:tc>
        <w:tc>
          <w:tcPr>
            <w:tcW w:w="1871" w:type="dxa"/>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非常满意 (  )</w:t>
            </w:r>
          </w:p>
        </w:tc>
        <w:tc>
          <w:tcPr>
            <w:tcW w:w="1492"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满意 (  )</w:t>
            </w:r>
          </w:p>
        </w:tc>
        <w:tc>
          <w:tcPr>
            <w:tcW w:w="1418"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一般 (  )</w:t>
            </w:r>
          </w:p>
        </w:tc>
        <w:tc>
          <w:tcPr>
            <w:tcW w:w="1410" w:type="dxa"/>
            <w:vAlign w:val="center"/>
          </w:tcPr>
          <w:p>
            <w:pPr>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不满意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449" w:type="dxa"/>
            <w:gridSpan w:val="2"/>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医院负责人签名：</w:t>
            </w:r>
          </w:p>
        </w:tc>
        <w:tc>
          <w:tcPr>
            <w:tcW w:w="3363" w:type="dxa"/>
            <w:gridSpan w:val="3"/>
            <w:vAlign w:val="center"/>
          </w:tcPr>
          <w:p>
            <w:pPr>
              <w:spacing w:line="360" w:lineRule="exact"/>
              <w:jc w:val="center"/>
              <w:rPr>
                <w:rFonts w:ascii="仿宋_GB2312" w:hAnsi="仿宋_GB2312" w:eastAsia="仿宋_GB2312" w:cs="仿宋_GB2312"/>
                <w:sz w:val="24"/>
                <w:szCs w:val="24"/>
              </w:rPr>
            </w:pPr>
          </w:p>
        </w:tc>
        <w:tc>
          <w:tcPr>
            <w:tcW w:w="2828" w:type="dxa"/>
            <w:gridSpan w:val="3"/>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医院盖章</w:t>
            </w:r>
          </w:p>
        </w:tc>
      </w:tr>
    </w:tbl>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报障热线:                                   投诉电话:                    </w:t>
      </w:r>
    </w:p>
    <w:p>
      <w:pPr>
        <w:spacing w:line="480" w:lineRule="exact"/>
        <w:rPr>
          <w:rFonts w:ascii="仿宋_GB2312" w:hAnsi="仿宋_GB2312" w:eastAsia="仿宋_GB2312" w:cs="仿宋_GB2312"/>
          <w:sz w:val="24"/>
          <w:szCs w:val="24"/>
        </w:rPr>
      </w:pPr>
    </w:p>
    <w:p>
      <w:pPr>
        <w:spacing w:line="480" w:lineRule="exact"/>
        <w:rPr>
          <w:rFonts w:ascii="仿宋_GB2312" w:hAnsi="仿宋_GB2312" w:eastAsia="仿宋_GB2312" w:cs="仿宋_GB2312"/>
          <w:sz w:val="24"/>
          <w:szCs w:val="24"/>
        </w:rPr>
      </w:pPr>
    </w:p>
    <w:p>
      <w:pPr>
        <w:spacing w:line="480" w:lineRule="exact"/>
        <w:rPr>
          <w:rFonts w:ascii="仿宋_GB2312" w:hAnsi="仿宋_GB2312" w:eastAsia="仿宋_GB2312" w:cs="仿宋_GB2312"/>
          <w:sz w:val="24"/>
          <w:szCs w:val="24"/>
        </w:rPr>
      </w:pPr>
    </w:p>
    <w:p>
      <w:pPr>
        <w:spacing w:line="480" w:lineRule="exact"/>
        <w:rPr>
          <w:rFonts w:ascii="仿宋_GB2312" w:hAnsi="仿宋_GB2312" w:eastAsia="仿宋_GB2312" w:cs="仿宋_GB2312"/>
          <w:sz w:val="24"/>
          <w:szCs w:val="24"/>
        </w:rPr>
      </w:pPr>
    </w:p>
    <w:p>
      <w:pPr>
        <w:spacing w:line="480" w:lineRule="exact"/>
        <w:rPr>
          <w:rFonts w:ascii="仿宋_GB2312" w:hAnsi="仿宋_GB2312" w:eastAsia="仿宋_GB2312" w:cs="仿宋_GB2312"/>
          <w:sz w:val="24"/>
          <w:szCs w:val="24"/>
        </w:rPr>
      </w:pPr>
      <w:r>
        <w:rPr>
          <w:rFonts w:ascii="仿宋_GB2312" w:hAnsi="仿宋_GB2312" w:eastAsia="仿宋_GB2312" w:cs="仿宋_GB2312"/>
          <w:bCs/>
          <w:sz w:val="24"/>
          <w:szCs w:val="24"/>
        </w:rPr>
        <w:t xml:space="preserve"> </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附件四：</w:t>
      </w:r>
      <w:r>
        <w:rPr>
          <w:rFonts w:ascii="仿宋" w:hAnsi="仿宋" w:eastAsia="仿宋" w:cs="仿宋_GB2312"/>
          <w:sz w:val="28"/>
          <w:szCs w:val="28"/>
        </w:rPr>
        <w:t xml:space="preserve"> </w:t>
      </w:r>
    </w:p>
    <w:p>
      <w:pPr>
        <w:spacing w:line="4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昆山农商银行银医通</w:t>
      </w:r>
      <w:r>
        <w:rPr>
          <w:rFonts w:hint="eastAsia" w:ascii="仿宋_GB2312" w:hAnsi="仿宋_GB2312" w:eastAsia="仿宋_GB2312" w:cs="仿宋_GB2312"/>
          <w:b/>
          <w:bCs/>
          <w:sz w:val="28"/>
          <w:szCs w:val="28"/>
        </w:rPr>
        <w:t>自助设备维修记录档案卡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2"/>
        <w:gridCol w:w="1575"/>
        <w:gridCol w:w="1418"/>
        <w:gridCol w:w="1147"/>
        <w:gridCol w:w="1816"/>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602"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维保公司名称</w:t>
            </w:r>
          </w:p>
        </w:tc>
        <w:tc>
          <w:tcPr>
            <w:tcW w:w="7387" w:type="dxa"/>
            <w:gridSpan w:val="5"/>
            <w:tcMar>
              <w:top w:w="15" w:type="dxa"/>
              <w:left w:w="15" w:type="dxa"/>
              <w:bottom w:w="0" w:type="dxa"/>
              <w:right w:w="15" w:type="dxa"/>
            </w:tcMar>
            <w:vAlign w:val="center"/>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602" w:type="dxa"/>
            <w:vMerge w:val="restart"/>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医院名称</w:t>
            </w:r>
          </w:p>
        </w:tc>
        <w:tc>
          <w:tcPr>
            <w:tcW w:w="1575" w:type="dxa"/>
            <w:vMerge w:val="restart"/>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p>
        </w:tc>
        <w:tc>
          <w:tcPr>
            <w:tcW w:w="1418"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自助设备型号</w:t>
            </w:r>
          </w:p>
        </w:tc>
        <w:tc>
          <w:tcPr>
            <w:tcW w:w="1147"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合同开始日期</w:t>
            </w: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602" w:type="dxa"/>
            <w:vMerge w:val="continue"/>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p>
        </w:tc>
        <w:tc>
          <w:tcPr>
            <w:tcW w:w="1575" w:type="dxa"/>
            <w:vMerge w:val="continue"/>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p>
        </w:tc>
        <w:tc>
          <w:tcPr>
            <w:tcW w:w="1418"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自助设备编号</w:t>
            </w:r>
          </w:p>
        </w:tc>
        <w:tc>
          <w:tcPr>
            <w:tcW w:w="1147"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档案卡号</w:t>
            </w: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故障现象</w:t>
            </w:r>
          </w:p>
        </w:tc>
        <w:tc>
          <w:tcPr>
            <w:tcW w:w="4140" w:type="dxa"/>
            <w:gridSpan w:val="3"/>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维修情况</w:t>
            </w:r>
          </w:p>
        </w:tc>
        <w:tc>
          <w:tcPr>
            <w:tcW w:w="1816"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维修日期</w:t>
            </w:r>
          </w:p>
        </w:tc>
        <w:tc>
          <w:tcPr>
            <w:tcW w:w="1431" w:type="dxa"/>
            <w:tcMar>
              <w:top w:w="15" w:type="dxa"/>
              <w:left w:w="15" w:type="dxa"/>
              <w:bottom w:w="0" w:type="dxa"/>
              <w:right w:w="15" w:type="dxa"/>
            </w:tcMar>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工程师签名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602"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4140" w:type="dxa"/>
            <w:gridSpan w:val="3"/>
            <w:tcMar>
              <w:top w:w="15" w:type="dxa"/>
              <w:left w:w="15" w:type="dxa"/>
              <w:bottom w:w="0" w:type="dxa"/>
              <w:right w:w="15" w:type="dxa"/>
            </w:tcMar>
            <w:vAlign w:val="bottom"/>
          </w:tcPr>
          <w:p>
            <w:pPr>
              <w:spacing w:line="360" w:lineRule="exact"/>
              <w:jc w:val="center"/>
              <w:rPr>
                <w:rFonts w:ascii="仿宋_GB2312" w:hAnsi="仿宋_GB2312" w:eastAsia="仿宋_GB2312" w:cs="仿宋_GB2312"/>
                <w:sz w:val="24"/>
                <w:szCs w:val="24"/>
              </w:rPr>
            </w:pPr>
          </w:p>
        </w:tc>
        <w:tc>
          <w:tcPr>
            <w:tcW w:w="1816"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c>
          <w:tcPr>
            <w:tcW w:w="1431" w:type="dxa"/>
            <w:tcMar>
              <w:top w:w="15" w:type="dxa"/>
              <w:left w:w="15" w:type="dxa"/>
              <w:bottom w:w="0" w:type="dxa"/>
              <w:right w:w="15" w:type="dxa"/>
            </w:tcMar>
            <w:vAlign w:val="bottom"/>
          </w:tcPr>
          <w:p>
            <w:pPr>
              <w:spacing w:line="360" w:lineRule="exact"/>
              <w:rPr>
                <w:rFonts w:ascii="仿宋_GB2312" w:hAnsi="仿宋_GB2312" w:eastAsia="仿宋_GB2312" w:cs="仿宋_GB2312"/>
                <w:sz w:val="24"/>
                <w:szCs w:val="24"/>
              </w:rPr>
            </w:pPr>
          </w:p>
        </w:tc>
      </w:tr>
    </w:tbl>
    <w:p>
      <w:pPr>
        <w:spacing w:line="480" w:lineRule="exact"/>
        <w:jc w:val="center"/>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sz w:val="28"/>
          <w:szCs w:val="28"/>
        </w:rPr>
      </w:pPr>
    </w:p>
    <w:p>
      <w:pPr>
        <w:spacing w:line="480" w:lineRule="exact"/>
        <w:rPr>
          <w:rFonts w:ascii="仿宋_GB2312" w:hAnsi="仿宋_GB2312" w:eastAsia="仿宋_GB2312" w:cs="仿宋_GB2312"/>
          <w:b/>
          <w:sz w:val="28"/>
          <w:szCs w:val="28"/>
        </w:rPr>
      </w:pPr>
      <w:r>
        <w:rPr>
          <w:rFonts w:hint="eastAsia" w:ascii="仿宋" w:hAnsi="仿宋" w:eastAsia="仿宋" w:cs="仿宋_GB2312"/>
          <w:sz w:val="28"/>
          <w:szCs w:val="28"/>
        </w:rPr>
        <w:t>附件五：服务商监督考核评价打分表</w:t>
      </w:r>
    </w:p>
    <w:p>
      <w:pPr>
        <w:spacing w:line="4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昆山农商银行银医通</w:t>
      </w:r>
      <w:r>
        <w:rPr>
          <w:rFonts w:hint="eastAsia" w:ascii="仿宋_GB2312" w:hAnsi="仿宋_GB2312" w:eastAsia="仿宋_GB2312" w:cs="仿宋_GB2312"/>
          <w:b/>
          <w:bCs/>
          <w:sz w:val="28"/>
          <w:szCs w:val="28"/>
        </w:rPr>
        <w:t>自助设备维保服务评价表</w:t>
      </w:r>
    </w:p>
    <w:tbl>
      <w:tblPr>
        <w:tblStyle w:val="13"/>
        <w:tblW w:w="0" w:type="auto"/>
        <w:jc w:val="center"/>
        <w:tblLayout w:type="fixed"/>
        <w:tblCellMar>
          <w:top w:w="0" w:type="dxa"/>
          <w:left w:w="108" w:type="dxa"/>
          <w:bottom w:w="0" w:type="dxa"/>
          <w:right w:w="108" w:type="dxa"/>
        </w:tblCellMar>
      </w:tblPr>
      <w:tblGrid>
        <w:gridCol w:w="1912"/>
        <w:gridCol w:w="3383"/>
        <w:gridCol w:w="2375"/>
        <w:gridCol w:w="1150"/>
      </w:tblGrid>
      <w:tr>
        <w:tblPrEx>
          <w:tblCellMar>
            <w:top w:w="0" w:type="dxa"/>
            <w:left w:w="108" w:type="dxa"/>
            <w:bottom w:w="0" w:type="dxa"/>
            <w:right w:w="108" w:type="dxa"/>
          </w:tblCellMar>
        </w:tblPrEx>
        <w:trPr>
          <w:trHeight w:val="285" w:hRule="atLeast"/>
          <w:jc w:val="center"/>
        </w:trPr>
        <w:tc>
          <w:tcPr>
            <w:tcW w:w="8820" w:type="dxa"/>
            <w:gridSpan w:val="4"/>
            <w:tcBorders>
              <w:top w:val="single" w:color="auto" w:sz="4" w:space="0"/>
              <w:left w:val="single" w:color="auto" w:sz="4" w:space="0"/>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维保公司名称：</w:t>
            </w:r>
          </w:p>
        </w:tc>
      </w:tr>
      <w:tr>
        <w:tblPrEx>
          <w:tblCellMar>
            <w:top w:w="0" w:type="dxa"/>
            <w:left w:w="108" w:type="dxa"/>
            <w:bottom w:w="0" w:type="dxa"/>
            <w:right w:w="108" w:type="dxa"/>
          </w:tblCellMar>
        </w:tblPrEx>
        <w:trPr>
          <w:trHeight w:val="285" w:hRule="atLeast"/>
          <w:jc w:val="center"/>
        </w:trPr>
        <w:tc>
          <w:tcPr>
            <w:tcW w:w="5295"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填报单位：</w:t>
            </w:r>
          </w:p>
        </w:tc>
        <w:tc>
          <w:tcPr>
            <w:tcW w:w="3525" w:type="dxa"/>
            <w:gridSpan w:val="2"/>
            <w:tcBorders>
              <w:top w:val="single" w:color="auto" w:sz="4" w:space="0"/>
              <w:left w:val="single" w:color="auto" w:sz="4" w:space="0"/>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日期：</w:t>
            </w:r>
          </w:p>
        </w:tc>
      </w:tr>
      <w:tr>
        <w:tblPrEx>
          <w:tblCellMar>
            <w:top w:w="0" w:type="dxa"/>
            <w:left w:w="108" w:type="dxa"/>
            <w:bottom w:w="0" w:type="dxa"/>
            <w:right w:w="108" w:type="dxa"/>
          </w:tblCellMar>
        </w:tblPrEx>
        <w:trPr>
          <w:trHeight w:val="285" w:hRule="atLeast"/>
          <w:jc w:val="center"/>
        </w:trPr>
        <w:tc>
          <w:tcPr>
            <w:tcW w:w="1912" w:type="dxa"/>
            <w:tcBorders>
              <w:top w:val="nil"/>
              <w:left w:val="single" w:color="auto" w:sz="4" w:space="0"/>
              <w:bottom w:val="single" w:color="auto" w:sz="4" w:space="0"/>
              <w:right w:val="single" w:color="auto" w:sz="4" w:space="0"/>
            </w:tcBorders>
            <w:vAlign w:val="bottom"/>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 标 名 称</w:t>
            </w:r>
          </w:p>
        </w:tc>
        <w:tc>
          <w:tcPr>
            <w:tcW w:w="3383" w:type="dxa"/>
            <w:tcBorders>
              <w:top w:val="nil"/>
              <w:left w:val="nil"/>
              <w:bottom w:val="single" w:color="auto" w:sz="4" w:space="0"/>
              <w:right w:val="single" w:color="auto" w:sz="4" w:space="0"/>
            </w:tcBorders>
            <w:vAlign w:val="bottom"/>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 标 内 容</w:t>
            </w:r>
          </w:p>
        </w:tc>
        <w:tc>
          <w:tcPr>
            <w:tcW w:w="2375" w:type="dxa"/>
            <w:tcBorders>
              <w:top w:val="nil"/>
              <w:left w:val="nil"/>
              <w:bottom w:val="single" w:color="auto" w:sz="4" w:space="0"/>
              <w:right w:val="single" w:color="auto" w:sz="4" w:space="0"/>
            </w:tcBorders>
            <w:vAlign w:val="bottom"/>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选  项</w:t>
            </w:r>
          </w:p>
        </w:tc>
        <w:tc>
          <w:tcPr>
            <w:tcW w:w="1150" w:type="dxa"/>
            <w:tcBorders>
              <w:top w:val="nil"/>
              <w:left w:val="nil"/>
              <w:bottom w:val="single" w:color="auto" w:sz="4" w:space="0"/>
              <w:right w:val="single" w:color="auto" w:sz="4" w:space="0"/>
            </w:tcBorders>
            <w:vAlign w:val="bottom"/>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得  分</w:t>
            </w:r>
          </w:p>
        </w:tc>
      </w:tr>
      <w:tr>
        <w:tblPrEx>
          <w:tblCellMar>
            <w:top w:w="0" w:type="dxa"/>
            <w:left w:w="108" w:type="dxa"/>
            <w:bottom w:w="0" w:type="dxa"/>
            <w:right w:w="108" w:type="dxa"/>
          </w:tblCellMar>
        </w:tblPrEx>
        <w:trPr>
          <w:trHeight w:val="360" w:hRule="atLeast"/>
          <w:jc w:val="center"/>
        </w:trPr>
        <w:tc>
          <w:tcPr>
            <w:tcW w:w="1912" w:type="dxa"/>
            <w:vMerge w:val="restart"/>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硬件故障响应及处理服务评价（30分）</w:t>
            </w:r>
          </w:p>
        </w:tc>
        <w:tc>
          <w:tcPr>
            <w:tcW w:w="33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响应速度</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2小时内到达（8-10分）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2-6小时内到达（3-7分）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6小时以上（0-2分）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故障排除时间</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2小时内（8-10分）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2-4小时（5-7分）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4-8小时（3-6分）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8小时以上（0-3分）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书面的故障原因说明</w:t>
            </w:r>
          </w:p>
        </w:tc>
        <w:tc>
          <w:tcPr>
            <w:tcW w:w="2375" w:type="dxa"/>
            <w:vMerge w:val="restart"/>
            <w:tcBorders>
              <w:top w:val="nil"/>
              <w:left w:val="single" w:color="auto"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备件是否充足</w:t>
            </w:r>
          </w:p>
        </w:tc>
        <w:tc>
          <w:tcPr>
            <w:tcW w:w="2375" w:type="dxa"/>
            <w:vMerge w:val="restart"/>
            <w:tcBorders>
              <w:top w:val="nil"/>
              <w:left w:val="single" w:color="auto"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restart"/>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预防性服务评价（15分）</w:t>
            </w: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是否按时定期对整机进行清洁工作</w:t>
            </w:r>
          </w:p>
        </w:tc>
        <w:tc>
          <w:tcPr>
            <w:tcW w:w="2375" w:type="dxa"/>
            <w:vMerge w:val="restart"/>
            <w:tcBorders>
              <w:top w:val="nil"/>
              <w:left w:val="single" w:color="auto"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每年定期进行全面预防性维护</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4次以上（8-10分）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2-3次（含2次）（4-8分）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2次以下（0-3分）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restart"/>
            <w:tcBorders>
              <w:top w:val="single" w:color="auto" w:sz="4" w:space="0"/>
              <w:left w:val="single" w:color="auto" w:sz="4" w:space="0"/>
              <w:bottom w:val="nil"/>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技术支持服务评价（35分）</w:t>
            </w: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维护商技术支持能力</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积极（8-10分）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一般（3-7分）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较差（0-3分）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软件故障调查及软件升级</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迅速（6-8分）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一般（3-5分）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慢（0-2分）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长短款纠纷协查</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积极（4-6分）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不积极（0-3 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短款资金垫付</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否（0分）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nil"/>
              <w:right w:val="single" w:color="auto" w:sz="4" w:space="0"/>
            </w:tcBorders>
            <w:vAlign w:val="center"/>
          </w:tcPr>
          <w:p>
            <w:pPr>
              <w:widowControl/>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案件协查及解决方案提交</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一般（4-6分）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不积极（0-3 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restart"/>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技术培训服务评价（10分）</w:t>
            </w:r>
          </w:p>
        </w:tc>
        <w:tc>
          <w:tcPr>
            <w:tcW w:w="3383"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每年的设备操作和技术维护培训</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2次以上（4-6分）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1次（1-3分）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产品创新讲座</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有（1-4分）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nil"/>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其他指标（10分）</w:t>
            </w:r>
          </w:p>
        </w:tc>
        <w:tc>
          <w:tcPr>
            <w:tcW w:w="3383" w:type="dxa"/>
            <w:vMerge w:val="restart"/>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服务站点覆盖率</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70%以上（6分）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60%-70%（3-5分）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30%-60%（1-2分）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30%以下（0分）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维护人员技术能力</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高（2分）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一般（1分）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差（0分）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restart"/>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服务态度</w:t>
            </w: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好（2分）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一般（1分）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差（0分）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restart"/>
            <w:tcBorders>
              <w:top w:val="nil"/>
              <w:left w:val="single" w:color="auto"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重大故障及风险事件（扣60分）</w:t>
            </w:r>
          </w:p>
        </w:tc>
        <w:tc>
          <w:tcPr>
            <w:tcW w:w="3383"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大面积停机</w:t>
            </w:r>
          </w:p>
        </w:tc>
        <w:tc>
          <w:tcPr>
            <w:tcW w:w="2375" w:type="dxa"/>
            <w:tcBorders>
              <w:top w:val="nil"/>
              <w:left w:val="nil"/>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扣15分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客户资料泄密</w:t>
            </w:r>
          </w:p>
        </w:tc>
        <w:tc>
          <w:tcPr>
            <w:tcW w:w="2375" w:type="dxa"/>
            <w:tcBorders>
              <w:top w:val="nil"/>
              <w:left w:val="nil"/>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扣20分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vMerge w:val="continue"/>
            <w:tcBorders>
              <w:top w:val="nil"/>
              <w:left w:val="single" w:color="auto" w:sz="4" w:space="0"/>
              <w:bottom w:val="single" w:color="000000"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c>
          <w:tcPr>
            <w:tcW w:w="3383"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重大经济损失</w:t>
            </w:r>
          </w:p>
        </w:tc>
        <w:tc>
          <w:tcPr>
            <w:tcW w:w="2375" w:type="dxa"/>
            <w:tcBorders>
              <w:top w:val="nil"/>
              <w:left w:val="nil"/>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扣25分</w:t>
            </w:r>
          </w:p>
        </w:tc>
        <w:tc>
          <w:tcPr>
            <w:tcW w:w="115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85" w:hRule="atLeast"/>
          <w:jc w:val="center"/>
        </w:trPr>
        <w:tc>
          <w:tcPr>
            <w:tcW w:w="1912" w:type="dxa"/>
            <w:tcBorders>
              <w:top w:val="nil"/>
              <w:left w:val="single" w:color="auto" w:sz="4" w:space="0"/>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3383" w:type="dxa"/>
            <w:tcBorders>
              <w:top w:val="nil"/>
              <w:left w:val="nil"/>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p>
        </w:tc>
        <w:tc>
          <w:tcPr>
            <w:tcW w:w="2375" w:type="dxa"/>
            <w:tcBorders>
              <w:top w:val="nil"/>
              <w:left w:val="nil"/>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p>
        </w:tc>
        <w:tc>
          <w:tcPr>
            <w:tcW w:w="1150" w:type="dxa"/>
            <w:tcBorders>
              <w:top w:val="nil"/>
              <w:left w:val="nil"/>
              <w:bottom w:val="single" w:color="auto" w:sz="4" w:space="0"/>
              <w:right w:val="single" w:color="auto" w:sz="4" w:space="0"/>
            </w:tcBorders>
            <w:vAlign w:val="bottom"/>
          </w:tcPr>
          <w:p>
            <w:pPr>
              <w:widowControl/>
              <w:spacing w:line="360" w:lineRule="exact"/>
              <w:jc w:val="left"/>
              <w:rPr>
                <w:rFonts w:ascii="仿宋_GB2312" w:hAnsi="仿宋_GB2312" w:eastAsia="仿宋_GB2312" w:cs="仿宋_GB2312"/>
                <w:kern w:val="0"/>
                <w:sz w:val="24"/>
                <w:szCs w:val="24"/>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附件6：《供应商反腐败/反贿赂承诺书》</w:t>
      </w:r>
    </w:p>
    <w:p>
      <w:pPr>
        <w:jc w:val="center"/>
        <w:rPr>
          <w:rFonts w:ascii="仿宋_GB2312" w:hAnsi="宋体" w:eastAsia="仿宋_GB2312"/>
          <w:color w:val="000000"/>
          <w:sz w:val="28"/>
          <w:szCs w:val="28"/>
        </w:rPr>
      </w:pPr>
    </w:p>
    <w:p>
      <w:pPr>
        <w:jc w:val="center"/>
        <w:rPr>
          <w:rFonts w:ascii="仿宋_GB2312" w:hAnsi="仿宋" w:eastAsia="仿宋_GB2312"/>
          <w:sz w:val="28"/>
          <w:szCs w:val="28"/>
        </w:rPr>
      </w:pPr>
      <w:r>
        <w:rPr>
          <w:rFonts w:hint="eastAsia" w:ascii="仿宋_GB2312" w:hAnsi="仿宋" w:eastAsia="仿宋_GB2312"/>
          <w:sz w:val="28"/>
          <w:szCs w:val="28"/>
        </w:rPr>
        <w:t>供应商反腐败/反贿赂承诺书</w:t>
      </w:r>
    </w:p>
    <w:p>
      <w:pPr>
        <w:jc w:val="center"/>
        <w:rPr>
          <w:rFonts w:ascii="仿宋_GB2312" w:hAnsi="仿宋"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江苏昆山农村商业银行股份有限公司：</w:t>
      </w:r>
    </w:p>
    <w:p>
      <w:pPr>
        <w:ind w:firstLine="560" w:firstLineChars="200"/>
        <w:rPr>
          <w:rFonts w:ascii="仿宋_GB2312" w:hAnsi="宋体" w:eastAsia="仿宋_GB2312"/>
          <w:sz w:val="28"/>
          <w:szCs w:val="28"/>
        </w:rPr>
      </w:pPr>
      <w:r>
        <w:rPr>
          <w:rFonts w:hint="eastAsia" w:ascii="仿宋_GB2312" w:hAnsi="宋体" w:eastAsia="仿宋_GB2312"/>
          <w:sz w:val="28"/>
          <w:szCs w:val="28"/>
        </w:rPr>
        <w:t>本公司自愿与贵行合作，互惠共赢，确保采购招投标活动的规范与廉洁，从源头上预防和遏制违法违纪问题的发生，特作以下承诺：</w:t>
      </w:r>
    </w:p>
    <w:p>
      <w:pPr>
        <w:ind w:firstLine="560" w:firstLineChars="200"/>
        <w:rPr>
          <w:rFonts w:ascii="仿宋_GB2312" w:hAnsi="宋体" w:eastAsia="仿宋_GB2312"/>
          <w:sz w:val="28"/>
          <w:szCs w:val="28"/>
        </w:rPr>
      </w:pPr>
      <w:r>
        <w:rPr>
          <w:rFonts w:hint="eastAsia" w:ascii="仿宋_GB2312" w:hAnsi="宋体" w:eastAsia="仿宋_GB2312"/>
          <w:sz w:val="28"/>
          <w:szCs w:val="28"/>
        </w:rPr>
        <w:t>1、在业务往来中，严格遵守国家有关的法律法规和廉洁从业规定，坚持公平、公开、公正、诚实信用的原则，决不损害国家和企业利益。</w:t>
      </w:r>
    </w:p>
    <w:p>
      <w:pPr>
        <w:ind w:firstLine="560" w:firstLineChars="200"/>
        <w:rPr>
          <w:rFonts w:ascii="仿宋_GB2312" w:hAnsi="宋体" w:eastAsia="仿宋_GB2312"/>
          <w:sz w:val="28"/>
          <w:szCs w:val="28"/>
        </w:rPr>
      </w:pPr>
      <w:r>
        <w:rPr>
          <w:rFonts w:hint="eastAsia" w:ascii="仿宋_GB2312" w:hAnsi="宋体" w:eastAsia="仿宋_GB2312"/>
          <w:sz w:val="28"/>
          <w:szCs w:val="28"/>
        </w:rPr>
        <w:t>2、本公司（含公司工作人员，下同）决不向贵行工作人员（含工作人员的配偶、子女及亲属，下同）馈赠礼品（包括但不限于现金、有价证券、支付凭证及贵重物品等）。</w:t>
      </w:r>
    </w:p>
    <w:p>
      <w:pPr>
        <w:ind w:firstLine="560" w:firstLineChars="200"/>
        <w:rPr>
          <w:rFonts w:ascii="仿宋_GB2312" w:hAnsi="宋体" w:eastAsia="仿宋_GB2312"/>
          <w:sz w:val="28"/>
          <w:szCs w:val="28"/>
        </w:rPr>
      </w:pPr>
      <w:r>
        <w:rPr>
          <w:rFonts w:hint="eastAsia" w:ascii="仿宋_GB2312" w:hAnsi="宋体" w:eastAsia="仿宋_GB2312"/>
          <w:sz w:val="28"/>
          <w:szCs w:val="28"/>
        </w:rPr>
        <w:t>3、本公司决不向贵行工作人员提供宴请、联谊活动、度假、旅游，以及到营业性娱乐场所消费。</w:t>
      </w:r>
    </w:p>
    <w:p>
      <w:pPr>
        <w:ind w:firstLine="560" w:firstLineChars="200"/>
        <w:rPr>
          <w:rFonts w:ascii="仿宋_GB2312" w:hAnsi="宋体" w:eastAsia="仿宋_GB2312"/>
          <w:sz w:val="28"/>
          <w:szCs w:val="28"/>
        </w:rPr>
      </w:pPr>
      <w:r>
        <w:rPr>
          <w:rFonts w:hint="eastAsia" w:ascii="仿宋_GB2312" w:hAnsi="宋体" w:eastAsia="仿宋_GB2312"/>
          <w:sz w:val="28"/>
          <w:szCs w:val="28"/>
        </w:rPr>
        <w:t>4、本公司决不为贵行工作人员安排工作，以及支付应由其个人自付的各种费用。</w:t>
      </w:r>
    </w:p>
    <w:p>
      <w:pPr>
        <w:ind w:firstLine="560" w:firstLineChars="200"/>
        <w:rPr>
          <w:rFonts w:ascii="仿宋_GB2312" w:hAnsi="宋体" w:eastAsia="仿宋_GB2312"/>
          <w:sz w:val="28"/>
          <w:szCs w:val="28"/>
        </w:rPr>
      </w:pPr>
      <w:r>
        <w:rPr>
          <w:rFonts w:hint="eastAsia" w:ascii="仿宋_GB2312" w:hAnsi="宋体" w:eastAsia="仿宋_GB2312"/>
          <w:sz w:val="28"/>
          <w:szCs w:val="28"/>
        </w:rPr>
        <w:t>5、若本公司发现贵行工作人员有违反本承诺书行为倾向的，应及时提醒纠正并向贵行监督管理部门举报。</w:t>
      </w:r>
    </w:p>
    <w:p>
      <w:pPr>
        <w:ind w:firstLine="560" w:firstLineChars="200"/>
        <w:rPr>
          <w:rFonts w:ascii="仿宋_GB2312" w:hAnsi="宋体" w:eastAsia="仿宋_GB2312"/>
          <w:sz w:val="28"/>
          <w:szCs w:val="28"/>
        </w:rPr>
      </w:pPr>
      <w:r>
        <w:rPr>
          <w:rFonts w:hint="eastAsia" w:ascii="仿宋_GB2312" w:hAnsi="宋体" w:eastAsia="仿宋_GB2312"/>
          <w:sz w:val="28"/>
          <w:szCs w:val="28"/>
        </w:rPr>
        <w:t>6、如发现本公司违反承诺，经贵行监督管理部门认定违规事实后，按照下列规定进行处罚。</w:t>
      </w:r>
    </w:p>
    <w:p>
      <w:pPr>
        <w:ind w:firstLine="560" w:firstLineChars="200"/>
        <w:rPr>
          <w:rFonts w:ascii="仿宋_GB2312" w:hAnsi="宋体" w:eastAsia="仿宋_GB2312"/>
          <w:sz w:val="28"/>
          <w:szCs w:val="28"/>
        </w:rPr>
      </w:pPr>
      <w:r>
        <w:rPr>
          <w:rFonts w:hint="eastAsia" w:ascii="仿宋_GB2312" w:hAnsi="宋体" w:eastAsia="仿宋_GB2312"/>
          <w:sz w:val="28"/>
          <w:szCs w:val="28"/>
        </w:rPr>
        <w:t>（1）同意按照合作项目合同总金额的5%支付违约金。</w:t>
      </w:r>
    </w:p>
    <w:p>
      <w:pPr>
        <w:ind w:firstLine="560" w:firstLineChars="200"/>
        <w:rPr>
          <w:rFonts w:ascii="仿宋_GB2312" w:hAnsi="宋体" w:eastAsia="仿宋_GB2312"/>
          <w:sz w:val="28"/>
          <w:szCs w:val="28"/>
        </w:rPr>
      </w:pPr>
      <w:r>
        <w:rPr>
          <w:rFonts w:hint="eastAsia" w:ascii="仿宋_GB2312" w:hAnsi="宋体" w:eastAsia="仿宋_GB2312"/>
          <w:sz w:val="28"/>
          <w:szCs w:val="28"/>
        </w:rPr>
        <w:t>（2）同意贵行解除相关合同，由此造成贵行的损失概由本公司完全承担并赔偿。</w:t>
      </w:r>
    </w:p>
    <w:p>
      <w:pPr>
        <w:ind w:firstLine="560" w:firstLineChars="200"/>
        <w:rPr>
          <w:rFonts w:ascii="仿宋_GB2312" w:hAnsi="宋体" w:eastAsia="仿宋_GB2312"/>
          <w:sz w:val="28"/>
          <w:szCs w:val="28"/>
        </w:rPr>
      </w:pPr>
      <w:r>
        <w:rPr>
          <w:rFonts w:hint="eastAsia" w:ascii="仿宋_GB2312" w:hAnsi="宋体" w:eastAsia="仿宋_GB2312"/>
          <w:sz w:val="28"/>
          <w:szCs w:val="28"/>
        </w:rPr>
        <w:t>（3）承担由此产生的全部法律责任。</w:t>
      </w:r>
    </w:p>
    <w:p>
      <w:pPr>
        <w:ind w:firstLine="600"/>
        <w:rPr>
          <w:rFonts w:ascii="仿宋_GB2312" w:hAnsi="宋体" w:eastAsia="仿宋_GB2312"/>
          <w:sz w:val="28"/>
          <w:szCs w:val="28"/>
        </w:rPr>
      </w:pPr>
    </w:p>
    <w:p>
      <w:pPr>
        <w:ind w:firstLine="600"/>
        <w:jc w:val="right"/>
        <w:rPr>
          <w:rFonts w:ascii="仿宋_GB2312" w:hAnsi="宋体" w:eastAsia="仿宋_GB2312"/>
          <w:sz w:val="28"/>
          <w:szCs w:val="28"/>
        </w:rPr>
      </w:pPr>
      <w:r>
        <w:rPr>
          <w:rFonts w:hint="eastAsia" w:ascii="仿宋_GB2312" w:hAnsi="宋体" w:eastAsia="仿宋_GB2312"/>
          <w:sz w:val="28"/>
          <w:szCs w:val="28"/>
        </w:rPr>
        <w:t>（公司加盖公章）</w:t>
      </w:r>
    </w:p>
    <w:p>
      <w:pPr>
        <w:ind w:firstLine="600"/>
        <w:jc w:val="right"/>
        <w:rPr>
          <w:rFonts w:ascii="仿宋_GB2312" w:hAnsi="宋体" w:eastAsia="仿宋_GB2312"/>
          <w:sz w:val="28"/>
          <w:szCs w:val="28"/>
        </w:rPr>
      </w:pPr>
      <w:r>
        <w:rPr>
          <w:rFonts w:hint="eastAsia" w:ascii="仿宋_GB2312" w:hAnsi="宋体" w:eastAsia="仿宋_GB2312"/>
          <w:sz w:val="28"/>
          <w:szCs w:val="28"/>
        </w:rPr>
        <w:t xml:space="preserve">法定代表人/有权签署人（签名或盖章）：           </w:t>
      </w:r>
    </w:p>
    <w:p>
      <w:pPr>
        <w:ind w:firstLine="600"/>
        <w:jc w:val="right"/>
        <w:rPr>
          <w:rFonts w:ascii="仿宋_GB2312" w:hAnsi="宋体" w:eastAsia="仿宋_GB2312"/>
          <w:sz w:val="30"/>
          <w:szCs w:val="30"/>
        </w:rPr>
      </w:pPr>
      <w:r>
        <w:rPr>
          <w:rFonts w:hint="eastAsia" w:ascii="仿宋_GB2312" w:hAnsi="宋体" w:eastAsia="仿宋_GB2312"/>
          <w:sz w:val="28"/>
          <w:szCs w:val="28"/>
        </w:rPr>
        <w:t xml:space="preserve">日期：        </w:t>
      </w:r>
      <w:r>
        <w:rPr>
          <w:rFonts w:ascii="仿宋_GB2312" w:hAnsi="宋体" w:eastAsia="仿宋_GB2312"/>
          <w:sz w:val="30"/>
          <w:szCs w:val="30"/>
        </w:rPr>
        <w:t xml:space="preserve">   </w:t>
      </w:r>
    </w:p>
    <w:p>
      <w:pPr>
        <w:ind w:firstLine="6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8B19C"/>
    <w:multiLevelType w:val="singleLevel"/>
    <w:tmpl w:val="D6F8B19C"/>
    <w:lvl w:ilvl="0" w:tentative="0">
      <w:start w:val="4"/>
      <w:numFmt w:val="chineseCounting"/>
      <w:suff w:val="nothing"/>
      <w:lvlText w:val="（%1）"/>
      <w:lvlJc w:val="left"/>
      <w:rPr>
        <w:rFonts w:hint="eastAsia"/>
      </w:rPr>
    </w:lvl>
  </w:abstractNum>
  <w:abstractNum w:abstractNumId="1">
    <w:nsid w:val="3D245D7C"/>
    <w:multiLevelType w:val="singleLevel"/>
    <w:tmpl w:val="3D245D7C"/>
    <w:lvl w:ilvl="0" w:tentative="0">
      <w:start w:val="2"/>
      <w:numFmt w:val="chineseCounting"/>
      <w:lvlText w:val="第%1部分"/>
      <w:lvlJc w:val="left"/>
      <w:rPr>
        <w:rFonts w:hint="eastAsia"/>
      </w:rPr>
    </w:lvl>
  </w:abstractNum>
  <w:abstractNum w:abstractNumId="2">
    <w:nsid w:val="5279BCCF"/>
    <w:multiLevelType w:val="singleLevel"/>
    <w:tmpl w:val="5279BCCF"/>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E1"/>
    <w:rsid w:val="00123081"/>
    <w:rsid w:val="001E3233"/>
    <w:rsid w:val="0020019D"/>
    <w:rsid w:val="002153F4"/>
    <w:rsid w:val="003062E4"/>
    <w:rsid w:val="006926E1"/>
    <w:rsid w:val="00760D3D"/>
    <w:rsid w:val="007A3B6E"/>
    <w:rsid w:val="007A5F7D"/>
    <w:rsid w:val="00880682"/>
    <w:rsid w:val="009618A5"/>
    <w:rsid w:val="00AF2647"/>
    <w:rsid w:val="00B001DB"/>
    <w:rsid w:val="00B12713"/>
    <w:rsid w:val="00BF2F12"/>
    <w:rsid w:val="00C040EC"/>
    <w:rsid w:val="00C0466E"/>
    <w:rsid w:val="00C7099C"/>
    <w:rsid w:val="00CD0C8D"/>
    <w:rsid w:val="00DF6F54"/>
    <w:rsid w:val="00ED58AC"/>
    <w:rsid w:val="00F4446E"/>
    <w:rsid w:val="00FA42AF"/>
    <w:rsid w:val="5FF85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0"/>
    <w:qFormat/>
    <w:uiPriority w:val="0"/>
    <w:pPr>
      <w:spacing w:after="120"/>
    </w:pPr>
    <w:rPr>
      <w:color w:val="000000"/>
    </w:rPr>
  </w:style>
  <w:style w:type="paragraph" w:styleId="6">
    <w:name w:val="Body Text Indent"/>
    <w:basedOn w:val="1"/>
    <w:link w:val="26"/>
    <w:unhideWhenUsed/>
    <w:qFormat/>
    <w:uiPriority w:val="0"/>
    <w:pPr>
      <w:spacing w:after="120"/>
      <w:ind w:left="420" w:leftChars="200"/>
    </w:pPr>
  </w:style>
  <w:style w:type="paragraph" w:styleId="7">
    <w:name w:val="Plain Text"/>
    <w:basedOn w:val="1"/>
    <w:link w:val="21"/>
    <w:qFormat/>
    <w:uiPriority w:val="0"/>
    <w:rPr>
      <w:rFonts w:ascii="宋体" w:hAnsi="Courier New"/>
    </w:rPr>
  </w:style>
  <w:style w:type="paragraph" w:styleId="8">
    <w:name w:val="Date"/>
    <w:basedOn w:val="1"/>
    <w:next w:val="1"/>
    <w:link w:val="22"/>
    <w:qFormat/>
    <w:uiPriority w:val="0"/>
    <w:pPr>
      <w:ind w:left="100" w:leftChars="2500"/>
    </w:pPr>
    <w:rPr>
      <w:sz w:val="2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7"/>
    <w:qFormat/>
    <w:uiPriority w:val="0"/>
    <w:pPr>
      <w:spacing w:after="120"/>
      <w:ind w:left="420" w:leftChars="200"/>
    </w:pPr>
    <w:rPr>
      <w:rFonts w:eastAsia="MS Gothic"/>
      <w:sz w:val="16"/>
      <w:szCs w:val="16"/>
    </w:rPr>
  </w:style>
  <w:style w:type="paragraph" w:styleId="12">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table" w:styleId="14">
    <w:name w:val="Table Grid"/>
    <w:basedOn w:val="13"/>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0"/>
    <w:qFormat/>
    <w:uiPriority w:val="0"/>
    <w:rPr>
      <w:sz w:val="18"/>
      <w:szCs w:val="18"/>
    </w:rPr>
  </w:style>
  <w:style w:type="character" w:customStyle="1" w:styleId="17">
    <w:name w:val="页脚 Char"/>
    <w:basedOn w:val="15"/>
    <w:link w:val="9"/>
    <w:uiPriority w:val="99"/>
    <w:rPr>
      <w:sz w:val="18"/>
      <w:szCs w:val="18"/>
    </w:rPr>
  </w:style>
  <w:style w:type="character" w:customStyle="1" w:styleId="18">
    <w:name w:val="标题 1 Char"/>
    <w:basedOn w:val="15"/>
    <w:link w:val="3"/>
    <w:qFormat/>
    <w:uiPriority w:val="9"/>
    <w:rPr>
      <w:rFonts w:ascii="Times New Roman" w:hAnsi="Times New Roman" w:eastAsia="宋体" w:cs="Times New Roman"/>
      <w:b/>
      <w:bCs/>
      <w:kern w:val="44"/>
      <w:sz w:val="44"/>
      <w:szCs w:val="44"/>
    </w:rPr>
  </w:style>
  <w:style w:type="character" w:customStyle="1" w:styleId="19">
    <w:name w:val="标题 2 Char"/>
    <w:basedOn w:val="15"/>
    <w:link w:val="4"/>
    <w:qFormat/>
    <w:uiPriority w:val="0"/>
    <w:rPr>
      <w:rFonts w:asciiTheme="majorHAnsi" w:hAnsiTheme="majorHAnsi" w:eastAsiaTheme="majorEastAsia" w:cstheme="majorBidi"/>
      <w:b/>
      <w:bCs/>
      <w:sz w:val="32"/>
      <w:szCs w:val="32"/>
    </w:rPr>
  </w:style>
  <w:style w:type="character" w:customStyle="1" w:styleId="20">
    <w:name w:val="正文文本 Char"/>
    <w:basedOn w:val="15"/>
    <w:link w:val="2"/>
    <w:uiPriority w:val="0"/>
    <w:rPr>
      <w:rFonts w:ascii="Times New Roman" w:hAnsi="Times New Roman" w:eastAsia="宋体" w:cs="Times New Roman"/>
      <w:color w:val="000000"/>
      <w:szCs w:val="20"/>
    </w:rPr>
  </w:style>
  <w:style w:type="character" w:customStyle="1" w:styleId="21">
    <w:name w:val="纯文本 Char"/>
    <w:basedOn w:val="15"/>
    <w:link w:val="7"/>
    <w:qFormat/>
    <w:uiPriority w:val="0"/>
    <w:rPr>
      <w:rFonts w:ascii="宋体" w:hAnsi="Courier New" w:eastAsia="宋体" w:cs="Times New Roman"/>
      <w:szCs w:val="20"/>
    </w:rPr>
  </w:style>
  <w:style w:type="character" w:customStyle="1" w:styleId="22">
    <w:name w:val="日期 Char"/>
    <w:basedOn w:val="15"/>
    <w:link w:val="8"/>
    <w:uiPriority w:val="0"/>
    <w:rPr>
      <w:rFonts w:ascii="Times New Roman" w:hAnsi="Times New Roman" w:eastAsia="宋体" w:cs="Times New Roman"/>
      <w:sz w:val="28"/>
      <w:szCs w:val="20"/>
    </w:rPr>
  </w:style>
  <w:style w:type="paragraph" w:customStyle="1" w:styleId="23">
    <w:name w:val="列出段落1"/>
    <w:basedOn w:val="1"/>
    <w:link w:val="24"/>
    <w:qFormat/>
    <w:uiPriority w:val="34"/>
    <w:pPr>
      <w:ind w:firstLine="420" w:firstLineChars="200"/>
    </w:pPr>
    <w:rPr>
      <w:sz w:val="24"/>
      <w:szCs w:val="24"/>
    </w:rPr>
  </w:style>
  <w:style w:type="character" w:customStyle="1" w:styleId="24">
    <w:name w:val="列出段落 Char"/>
    <w:link w:val="23"/>
    <w:qFormat/>
    <w:uiPriority w:val="34"/>
    <w:rPr>
      <w:rFonts w:ascii="Times New Roman" w:hAnsi="Times New Roman" w:eastAsia="宋体" w:cs="Times New Roman"/>
      <w:sz w:val="24"/>
      <w:szCs w:val="24"/>
    </w:rPr>
  </w:style>
  <w:style w:type="paragraph" w:customStyle="1" w:styleId="25">
    <w:name w:val="_Style 1"/>
    <w:basedOn w:val="1"/>
    <w:qFormat/>
    <w:uiPriority w:val="99"/>
    <w:pPr>
      <w:ind w:firstLine="420" w:firstLineChars="200"/>
    </w:pPr>
    <w:rPr>
      <w:rFonts w:ascii="Calibri" w:hAnsi="Calibri"/>
      <w:szCs w:val="22"/>
    </w:rPr>
  </w:style>
  <w:style w:type="character" w:customStyle="1" w:styleId="26">
    <w:name w:val="正文文本缩进 Char"/>
    <w:basedOn w:val="15"/>
    <w:link w:val="6"/>
    <w:semiHidden/>
    <w:uiPriority w:val="99"/>
    <w:rPr>
      <w:rFonts w:ascii="Times New Roman" w:hAnsi="Times New Roman" w:eastAsia="宋体" w:cs="Times New Roman"/>
      <w:szCs w:val="20"/>
    </w:rPr>
  </w:style>
  <w:style w:type="character" w:customStyle="1" w:styleId="27">
    <w:name w:val="正文文本缩进 3 Char"/>
    <w:basedOn w:val="15"/>
    <w:link w:val="11"/>
    <w:uiPriority w:val="0"/>
    <w:rPr>
      <w:rFonts w:ascii="Times New Roman" w:hAnsi="Times New Roman" w:eastAsia="MS Gothic" w:cs="Times New Roman"/>
      <w:sz w:val="16"/>
      <w:szCs w:val="16"/>
    </w:rPr>
  </w:style>
  <w:style w:type="paragraph" w:customStyle="1" w:styleId="28">
    <w:name w:val="缺省文本"/>
    <w:basedOn w:val="1"/>
    <w:qFormat/>
    <w:uiPriority w:val="0"/>
    <w:pPr>
      <w:autoSpaceDE w:val="0"/>
      <w:autoSpaceDN w:val="0"/>
      <w:adjustRightInd w:val="0"/>
      <w:jc w:val="left"/>
    </w:pPr>
    <w:rPr>
      <w:kern w:val="0"/>
      <w:sz w:val="24"/>
      <w:szCs w:val="24"/>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0">
    <w:name w:val="楷体粗正文文字"/>
    <w:basedOn w:val="1"/>
    <w:next w:val="11"/>
    <w:qFormat/>
    <w:uiPriority w:val="0"/>
    <w:pPr>
      <w:snapToGrid w:val="0"/>
      <w:spacing w:line="480" w:lineRule="exact"/>
      <w:ind w:firstLine="560"/>
    </w:pPr>
    <w:rPr>
      <w:sz w:val="28"/>
    </w:rPr>
  </w:style>
  <w:style w:type="character" w:customStyle="1" w:styleId="31">
    <w:name w:val="标题 3 Char"/>
    <w:basedOn w:val="15"/>
    <w:link w:val="5"/>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2DADC-3286-4C4F-A34E-77BF02CB3940}">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2199</Words>
  <Characters>12538</Characters>
  <Lines>104</Lines>
  <Paragraphs>29</Paragraphs>
  <TotalTime>302</TotalTime>
  <ScaleCrop>false</ScaleCrop>
  <LinksUpToDate>false</LinksUpToDate>
  <CharactersWithSpaces>14708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2024-04-29T01:46:00Z</dcterms:created>
  <dc:creator>顾琳</dc:creator>
  <cp:lastModifiedBy>krcb</cp:lastModifiedBy>
  <dcterms:modified xsi:type="dcterms:W3CDTF">2024-06-07T08:22:03Z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