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9" w:rsidRDefault="00AC4EB7">
      <w:pPr>
        <w:tabs>
          <w:tab w:val="left" w:pos="8280"/>
        </w:tabs>
        <w:spacing w:line="480" w:lineRule="auto"/>
        <w:rPr>
          <w:rFonts w:ascii="宋体" w:hAnsi="宋体"/>
          <w:b/>
          <w:sz w:val="28"/>
        </w:rPr>
      </w:pPr>
      <w:r>
        <w:rPr>
          <w:rFonts w:ascii="黑体" w:eastAsia="黑体" w:hAnsi="黑体" w:hint="eastAsia"/>
          <w:sz w:val="28"/>
          <w:szCs w:val="28"/>
        </w:rPr>
        <w:t>选型编号：</w:t>
      </w:r>
      <w:r>
        <w:rPr>
          <w:rFonts w:ascii="宋体" w:hAnsi="宋体"/>
          <w:b/>
          <w:sz w:val="28"/>
        </w:rPr>
        <w:t xml:space="preserve"> </w:t>
      </w:r>
      <w:r w:rsidR="00DE5FF8" w:rsidRPr="00DE5FF8">
        <w:rPr>
          <w:rFonts w:ascii="宋体" w:hAnsi="宋体"/>
          <w:b/>
          <w:sz w:val="28"/>
        </w:rPr>
        <w:t>KSRCBXX2024002</w:t>
      </w:r>
    </w:p>
    <w:p w:rsidR="00BC4A49" w:rsidRDefault="00BC4A49">
      <w:pPr>
        <w:tabs>
          <w:tab w:val="left" w:pos="8280"/>
        </w:tabs>
        <w:spacing w:line="480" w:lineRule="auto"/>
        <w:rPr>
          <w:rFonts w:ascii="宋体" w:hAnsi="宋体"/>
          <w:b/>
          <w:sz w:val="28"/>
        </w:rPr>
      </w:pPr>
    </w:p>
    <w:p w:rsidR="00BC4A49" w:rsidRDefault="00BC4A49">
      <w:pPr>
        <w:tabs>
          <w:tab w:val="left" w:pos="8280"/>
        </w:tabs>
        <w:spacing w:line="480" w:lineRule="auto"/>
        <w:rPr>
          <w:rFonts w:ascii="宋体" w:hAnsi="宋体"/>
          <w:b/>
          <w:sz w:val="28"/>
        </w:rPr>
      </w:pPr>
    </w:p>
    <w:p w:rsidR="00DE5FF8" w:rsidRDefault="00DE5FF8">
      <w:pPr>
        <w:tabs>
          <w:tab w:val="left" w:pos="8280"/>
        </w:tabs>
        <w:spacing w:line="480" w:lineRule="auto"/>
        <w:rPr>
          <w:rFonts w:ascii="宋体" w:hAnsi="宋体"/>
          <w:b/>
          <w:sz w:val="28"/>
        </w:rPr>
      </w:pPr>
    </w:p>
    <w:p w:rsidR="00DE5FF8" w:rsidRDefault="00DE5FF8">
      <w:pPr>
        <w:tabs>
          <w:tab w:val="left" w:pos="8280"/>
        </w:tabs>
        <w:spacing w:line="480" w:lineRule="auto"/>
        <w:rPr>
          <w:rFonts w:ascii="宋体" w:hAnsi="宋体"/>
          <w:b/>
          <w:sz w:val="28"/>
        </w:rPr>
      </w:pPr>
    </w:p>
    <w:p w:rsidR="00BC4A49" w:rsidRDefault="00BC4A49">
      <w:pPr>
        <w:tabs>
          <w:tab w:val="left" w:pos="8280"/>
        </w:tabs>
        <w:spacing w:line="480" w:lineRule="auto"/>
        <w:rPr>
          <w:rFonts w:ascii="宋体" w:hAnsi="宋体"/>
          <w:b/>
          <w:sz w:val="28"/>
        </w:rPr>
      </w:pPr>
    </w:p>
    <w:p w:rsidR="00BC4A49" w:rsidRDefault="00BC4A49">
      <w:pPr>
        <w:tabs>
          <w:tab w:val="left" w:pos="8280"/>
        </w:tabs>
        <w:spacing w:line="480" w:lineRule="auto"/>
        <w:rPr>
          <w:rFonts w:ascii="宋体" w:hAnsi="宋体"/>
          <w:b/>
          <w:sz w:val="28"/>
        </w:rPr>
      </w:pPr>
    </w:p>
    <w:p w:rsidR="00BC4A49" w:rsidRDefault="00AC4EB7">
      <w:pPr>
        <w:pStyle w:val="a5"/>
        <w:tabs>
          <w:tab w:val="left" w:pos="8280"/>
        </w:tabs>
        <w:spacing w:line="360" w:lineRule="auto"/>
        <w:rPr>
          <w:rFonts w:ascii="黑体" w:eastAsia="黑体" w:hAnsi="黑体" w:hint="default"/>
          <w:b w:val="0"/>
          <w:sz w:val="44"/>
          <w:szCs w:val="44"/>
        </w:rPr>
      </w:pPr>
      <w:r>
        <w:rPr>
          <w:rFonts w:ascii="黑体" w:eastAsia="黑体" w:hAnsi="黑体"/>
          <w:b w:val="0"/>
          <w:sz w:val="44"/>
          <w:szCs w:val="44"/>
        </w:rPr>
        <w:t>江苏昆山农村商业银行股份有限公司</w:t>
      </w:r>
    </w:p>
    <w:p w:rsidR="00DE5FF8" w:rsidRDefault="00AC4EB7">
      <w:pPr>
        <w:pStyle w:val="a5"/>
        <w:tabs>
          <w:tab w:val="left" w:pos="8280"/>
        </w:tabs>
        <w:spacing w:line="360" w:lineRule="auto"/>
        <w:rPr>
          <w:rFonts w:ascii="黑体" w:eastAsia="黑体" w:hAnsi="黑体" w:hint="default"/>
          <w:b w:val="0"/>
          <w:sz w:val="44"/>
          <w:szCs w:val="44"/>
        </w:rPr>
      </w:pPr>
      <w:r>
        <w:rPr>
          <w:rFonts w:ascii="黑体" w:eastAsia="黑体" w:hAnsi="黑体"/>
          <w:b w:val="0"/>
          <w:sz w:val="44"/>
          <w:szCs w:val="44"/>
        </w:rPr>
        <w:t>智能贷后管理系统</w:t>
      </w:r>
    </w:p>
    <w:p w:rsidR="00BC4A49" w:rsidRDefault="00AC4EB7">
      <w:pPr>
        <w:pStyle w:val="a5"/>
        <w:tabs>
          <w:tab w:val="left" w:pos="8280"/>
        </w:tabs>
        <w:spacing w:line="360" w:lineRule="auto"/>
        <w:rPr>
          <w:rFonts w:ascii="黑体" w:eastAsia="黑体" w:hAnsi="黑体" w:hint="default"/>
          <w:b w:val="0"/>
          <w:sz w:val="44"/>
          <w:szCs w:val="44"/>
        </w:rPr>
      </w:pPr>
      <w:r>
        <w:rPr>
          <w:rFonts w:ascii="黑体" w:eastAsia="黑体" w:hAnsi="黑体"/>
          <w:b w:val="0"/>
          <w:sz w:val="44"/>
          <w:szCs w:val="44"/>
        </w:rPr>
        <w:t>选型公告书</w:t>
      </w: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rPr>
          <w:rFonts w:ascii="宋体" w:hAnsi="宋体"/>
        </w:rPr>
      </w:pPr>
    </w:p>
    <w:p w:rsidR="00BC4A49" w:rsidRDefault="00BC4A49">
      <w:pPr>
        <w:autoSpaceDE w:val="0"/>
        <w:autoSpaceDN w:val="0"/>
        <w:adjustRightInd w:val="0"/>
        <w:spacing w:line="560" w:lineRule="atLeast"/>
        <w:jc w:val="center"/>
        <w:rPr>
          <w:rFonts w:ascii="宋体" w:hAnsi="宋体"/>
          <w:b/>
          <w:bCs/>
          <w:snapToGrid w:val="0"/>
          <w:sz w:val="32"/>
        </w:rPr>
      </w:pPr>
    </w:p>
    <w:p w:rsidR="00BC4A49" w:rsidRDefault="00BC4A49">
      <w:pPr>
        <w:autoSpaceDE w:val="0"/>
        <w:autoSpaceDN w:val="0"/>
        <w:adjustRightInd w:val="0"/>
        <w:spacing w:line="560" w:lineRule="atLeast"/>
        <w:jc w:val="center"/>
        <w:rPr>
          <w:rFonts w:ascii="宋体" w:hAnsi="宋体"/>
          <w:b/>
          <w:bCs/>
          <w:snapToGrid w:val="0"/>
          <w:sz w:val="32"/>
        </w:rPr>
      </w:pPr>
    </w:p>
    <w:p w:rsidR="00BC4A49" w:rsidRDefault="00BC4A49">
      <w:pPr>
        <w:autoSpaceDE w:val="0"/>
        <w:autoSpaceDN w:val="0"/>
        <w:adjustRightInd w:val="0"/>
        <w:spacing w:line="560" w:lineRule="atLeast"/>
        <w:jc w:val="center"/>
        <w:rPr>
          <w:rFonts w:ascii="宋体" w:hAnsi="宋体"/>
          <w:b/>
          <w:bCs/>
          <w:snapToGrid w:val="0"/>
          <w:sz w:val="32"/>
        </w:rPr>
      </w:pPr>
    </w:p>
    <w:p w:rsidR="00BC4A49" w:rsidRDefault="00BC4A49">
      <w:pPr>
        <w:autoSpaceDE w:val="0"/>
        <w:autoSpaceDN w:val="0"/>
        <w:adjustRightInd w:val="0"/>
        <w:spacing w:line="560" w:lineRule="atLeast"/>
        <w:jc w:val="center"/>
        <w:rPr>
          <w:rFonts w:ascii="宋体" w:hAnsi="宋体"/>
          <w:b/>
          <w:bCs/>
          <w:snapToGrid w:val="0"/>
          <w:sz w:val="32"/>
        </w:rPr>
      </w:pPr>
    </w:p>
    <w:p w:rsidR="00BC4A49" w:rsidRDefault="00BC4A49">
      <w:pPr>
        <w:autoSpaceDE w:val="0"/>
        <w:autoSpaceDN w:val="0"/>
        <w:adjustRightInd w:val="0"/>
        <w:spacing w:line="560" w:lineRule="atLeast"/>
        <w:jc w:val="center"/>
        <w:rPr>
          <w:rFonts w:ascii="宋体" w:hAnsi="宋体"/>
          <w:b/>
          <w:bCs/>
          <w:snapToGrid w:val="0"/>
          <w:sz w:val="32"/>
        </w:rPr>
      </w:pPr>
    </w:p>
    <w:p w:rsidR="00BC4A49" w:rsidRDefault="00AC4EB7">
      <w:pPr>
        <w:tabs>
          <w:tab w:val="left" w:pos="8280"/>
        </w:tabs>
        <w:jc w:val="center"/>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BC4A49" w:rsidRDefault="00AC4EB7">
      <w:pPr>
        <w:pStyle w:val="a6"/>
        <w:tabs>
          <w:tab w:val="left" w:pos="8280"/>
        </w:tabs>
        <w:jc w:val="cente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024</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p>
    <w:p w:rsidR="00BC4A49" w:rsidRDefault="00AC4EB7">
      <w:pPr>
        <w:autoSpaceDE w:val="0"/>
        <w:autoSpaceDN w:val="0"/>
        <w:adjustRightInd w:val="0"/>
        <w:spacing w:afterLines="100" w:after="312" w:line="640" w:lineRule="atLeast"/>
        <w:jc w:val="center"/>
        <w:rPr>
          <w:rFonts w:ascii="黑体" w:eastAsia="黑体" w:hAnsi="黑体"/>
          <w:bCs/>
          <w:snapToGrid w:val="0"/>
          <w:sz w:val="32"/>
          <w:szCs w:val="32"/>
        </w:rPr>
      </w:pPr>
      <w:r>
        <w:rPr>
          <w:rFonts w:ascii="宋体" w:hAnsi="宋体" w:hint="eastAsia"/>
          <w:b/>
          <w:bCs/>
          <w:snapToGrid w:val="0"/>
          <w:sz w:val="32"/>
        </w:rPr>
        <w:br w:type="page"/>
      </w:r>
      <w:r>
        <w:rPr>
          <w:rFonts w:ascii="黑体" w:eastAsia="黑体" w:hAnsi="黑体" w:hint="eastAsia"/>
          <w:bCs/>
          <w:snapToGrid w:val="0"/>
          <w:sz w:val="32"/>
          <w:szCs w:val="32"/>
        </w:rPr>
        <w:lastRenderedPageBreak/>
        <w:t>声   明</w:t>
      </w:r>
    </w:p>
    <w:p w:rsidR="00BC4A49" w:rsidRDefault="00AC4EB7">
      <w:pPr>
        <w:wordWrap w:val="0"/>
        <w:autoSpaceDE w:val="0"/>
        <w:autoSpaceDN w:val="0"/>
        <w:adjustRightInd w:val="0"/>
        <w:spacing w:line="560" w:lineRule="atLeast"/>
        <w:ind w:firstLineChars="200" w:firstLine="560"/>
        <w:rPr>
          <w:rFonts w:ascii="仿宋_GB2312" w:eastAsia="仿宋_GB2312" w:hAnsi="宋体"/>
          <w:snapToGrid w:val="0"/>
          <w:sz w:val="28"/>
        </w:rPr>
      </w:pPr>
      <w:r>
        <w:rPr>
          <w:rFonts w:ascii="仿宋_GB2312" w:eastAsia="仿宋_GB2312" w:hAnsi="宋体" w:hint="eastAsia"/>
          <w:snapToGrid w:val="0"/>
          <w:sz w:val="28"/>
        </w:rPr>
        <w:t>本公告文件专用于江苏昆山农村商业银行股份有限公司本次“智能贷后管理系统”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BC4A49" w:rsidRDefault="00AC4EB7">
      <w:pPr>
        <w:autoSpaceDE w:val="0"/>
        <w:autoSpaceDN w:val="0"/>
        <w:adjustRightInd w:val="0"/>
        <w:spacing w:afterLines="100" w:after="312" w:line="640" w:lineRule="atLeast"/>
        <w:jc w:val="center"/>
        <w:outlineLvl w:val="0"/>
        <w:rPr>
          <w:rFonts w:ascii="黑体" w:eastAsia="黑体" w:hAnsi="黑体"/>
          <w:b/>
          <w:bCs/>
          <w:snapToGrid w:val="0"/>
          <w:sz w:val="28"/>
          <w:szCs w:val="28"/>
        </w:rPr>
      </w:pPr>
      <w:r>
        <w:rPr>
          <w:rFonts w:ascii="宋体" w:hAnsi="宋体" w:hint="eastAsia"/>
          <w:snapToGrid w:val="0"/>
          <w:sz w:val="28"/>
        </w:rPr>
        <w:br w:type="page"/>
      </w:r>
      <w:r>
        <w:rPr>
          <w:rFonts w:ascii="黑体" w:eastAsia="黑体" w:hAnsi="黑体" w:hint="eastAsia"/>
          <w:b/>
          <w:bCs/>
          <w:snapToGrid w:val="0"/>
          <w:sz w:val="28"/>
          <w:szCs w:val="28"/>
        </w:rPr>
        <w:lastRenderedPageBreak/>
        <w:t xml:space="preserve">第一部分 </w:t>
      </w:r>
      <w:bookmarkStart w:id="0" w:name="投标邀请函"/>
      <w:bookmarkEnd w:id="0"/>
      <w:r>
        <w:rPr>
          <w:rFonts w:ascii="黑体" w:eastAsia="黑体" w:hAnsi="黑体" w:hint="eastAsia"/>
          <w:b/>
          <w:bCs/>
          <w:snapToGrid w:val="0"/>
          <w:sz w:val="28"/>
          <w:szCs w:val="28"/>
        </w:rPr>
        <w:t>公告函</w:t>
      </w:r>
    </w:p>
    <w:p w:rsidR="00BC4A49" w:rsidRDefault="00AC4EB7">
      <w:pPr>
        <w:autoSpaceDE w:val="0"/>
        <w:autoSpaceDN w:val="0"/>
        <w:adjustRightInd w:val="0"/>
        <w:spacing w:line="560" w:lineRule="atLeast"/>
        <w:ind w:firstLine="624"/>
        <w:jc w:val="left"/>
        <w:rPr>
          <w:rFonts w:ascii="仿宋_GB2312" w:eastAsia="仿宋_GB2312" w:hAnsi="宋体"/>
          <w:snapToGrid w:val="0"/>
          <w:sz w:val="28"/>
        </w:rPr>
      </w:pPr>
      <w:r>
        <w:rPr>
          <w:rFonts w:ascii="仿宋_GB2312" w:eastAsia="仿宋_GB2312" w:hAnsi="宋体" w:hint="eastAsia"/>
          <w:snapToGrid w:val="0"/>
          <w:sz w:val="28"/>
        </w:rPr>
        <w:t>根据江苏昆山农村商业银行股份有限公司业务发展的需求，现就江苏昆山农村商业银行股份有限公司（以下</w:t>
      </w:r>
      <w:r>
        <w:rPr>
          <w:rFonts w:ascii="仿宋_GB2312" w:eastAsia="仿宋_GB2312" w:hAnsi="宋体"/>
          <w:snapToGrid w:val="0"/>
          <w:sz w:val="28"/>
        </w:rPr>
        <w:t>简称</w:t>
      </w:r>
      <w:r>
        <w:rPr>
          <w:rFonts w:ascii="仿宋_GB2312" w:eastAsia="仿宋_GB2312" w:hAnsi="宋体"/>
          <w:snapToGrid w:val="0"/>
          <w:sz w:val="28"/>
        </w:rPr>
        <w:t>“</w:t>
      </w:r>
      <w:r>
        <w:rPr>
          <w:rFonts w:ascii="仿宋_GB2312" w:eastAsia="仿宋_GB2312" w:hAnsi="宋体" w:hint="eastAsia"/>
          <w:snapToGrid w:val="0"/>
          <w:sz w:val="28"/>
        </w:rPr>
        <w:t>本行</w:t>
      </w:r>
      <w:r>
        <w:rPr>
          <w:rFonts w:ascii="仿宋_GB2312" w:eastAsia="仿宋_GB2312" w:hAnsi="宋体"/>
          <w:snapToGrid w:val="0"/>
          <w:sz w:val="28"/>
        </w:rPr>
        <w:t>”</w:t>
      </w:r>
      <w:r>
        <w:rPr>
          <w:rFonts w:ascii="仿宋_GB2312" w:eastAsia="仿宋_GB2312" w:hAnsi="宋体" w:hint="eastAsia"/>
          <w:snapToGrid w:val="0"/>
          <w:sz w:val="28"/>
        </w:rPr>
        <w:t>）“智能贷后管理系统项目”进行选型公告：</w:t>
      </w:r>
    </w:p>
    <w:p w:rsidR="00BC4A49" w:rsidRDefault="00AC4EB7">
      <w:pPr>
        <w:tabs>
          <w:tab w:val="left" w:pos="8280"/>
        </w:tabs>
        <w:rPr>
          <w:rFonts w:ascii="仿宋_GB2312" w:eastAsia="仿宋_GB2312" w:hAnsi="宋体"/>
          <w:snapToGrid w:val="0"/>
          <w:sz w:val="28"/>
        </w:rPr>
      </w:pPr>
      <w:r>
        <w:rPr>
          <w:rFonts w:ascii="仿宋_GB2312" w:eastAsia="仿宋_GB2312" w:hAnsi="宋体" w:hint="eastAsia"/>
          <w:snapToGrid w:val="0"/>
          <w:sz w:val="28"/>
        </w:rPr>
        <w:t>1.公告编号：</w:t>
      </w:r>
      <w:r w:rsidR="00DE5FF8" w:rsidRPr="00DE5FF8">
        <w:rPr>
          <w:rFonts w:ascii="仿宋_GB2312" w:eastAsia="仿宋_GB2312" w:hAnsi="宋体"/>
          <w:snapToGrid w:val="0"/>
          <w:sz w:val="28"/>
        </w:rPr>
        <w:t>KSRCBXX2024002</w:t>
      </w:r>
    </w:p>
    <w:p w:rsidR="00BC4A49" w:rsidRDefault="00AC4EB7">
      <w:pPr>
        <w:tabs>
          <w:tab w:val="left" w:pos="8280"/>
        </w:tabs>
        <w:rPr>
          <w:rFonts w:ascii="仿宋_GB2312" w:eastAsia="仿宋_GB2312" w:hAnsi="宋体"/>
          <w:snapToGrid w:val="0"/>
          <w:sz w:val="28"/>
        </w:rPr>
      </w:pPr>
      <w:r>
        <w:rPr>
          <w:rFonts w:ascii="仿宋_GB2312" w:eastAsia="仿宋_GB2312" w:hAnsi="宋体" w:hint="eastAsia"/>
          <w:snapToGrid w:val="0"/>
          <w:sz w:val="28"/>
        </w:rPr>
        <w:t>2.公告人：江苏昆山农村商业银行股份有限公司</w:t>
      </w:r>
    </w:p>
    <w:p w:rsidR="00BC4A49" w:rsidRDefault="00AC4EB7">
      <w:pPr>
        <w:tabs>
          <w:tab w:val="left" w:pos="1260"/>
        </w:tabs>
        <w:autoSpaceDE w:val="0"/>
        <w:autoSpaceDN w:val="0"/>
        <w:adjustRightInd w:val="0"/>
        <w:jc w:val="left"/>
        <w:rPr>
          <w:rFonts w:ascii="仿宋_GB2312" w:eastAsia="仿宋_GB2312" w:hAnsi="宋体"/>
          <w:snapToGrid w:val="0"/>
          <w:sz w:val="28"/>
        </w:rPr>
      </w:pPr>
      <w:r>
        <w:rPr>
          <w:rFonts w:ascii="仿宋_GB2312" w:eastAsia="仿宋_GB2312" w:hAnsi="宋体" w:hint="eastAsia"/>
          <w:snapToGrid w:val="0"/>
          <w:sz w:val="28"/>
        </w:rPr>
        <w:t>3.项目实施地点：江苏省昆山市前进东路828号</w:t>
      </w:r>
    </w:p>
    <w:p w:rsidR="00BC4A49" w:rsidRDefault="00AC4EB7">
      <w:pPr>
        <w:tabs>
          <w:tab w:val="left" w:pos="1260"/>
        </w:tabs>
        <w:autoSpaceDE w:val="0"/>
        <w:autoSpaceDN w:val="0"/>
        <w:adjustRightInd w:val="0"/>
        <w:jc w:val="left"/>
        <w:rPr>
          <w:rFonts w:ascii="仿宋_GB2312" w:eastAsia="仿宋_GB2312" w:hAnsi="宋体"/>
          <w:snapToGrid w:val="0"/>
          <w:sz w:val="28"/>
        </w:rPr>
      </w:pPr>
      <w:r>
        <w:rPr>
          <w:rFonts w:ascii="仿宋_GB2312" w:eastAsia="仿宋_GB2312" w:hAnsi="宋体" w:hint="eastAsia"/>
          <w:snapToGrid w:val="0"/>
          <w:sz w:val="28"/>
        </w:rPr>
        <w:t>4.公告开始时间：北京时间</w:t>
      </w:r>
      <w:r>
        <w:rPr>
          <w:rFonts w:ascii="仿宋_GB2312" w:eastAsia="仿宋_GB2312" w:hAnsi="宋体"/>
          <w:snapToGrid w:val="0"/>
          <w:sz w:val="28"/>
        </w:rPr>
        <w:t>2024</w:t>
      </w:r>
      <w:r>
        <w:rPr>
          <w:rFonts w:ascii="仿宋_GB2312" w:eastAsia="仿宋_GB2312" w:hAnsi="宋体" w:hint="eastAsia"/>
          <w:snapToGrid w:val="0"/>
          <w:sz w:val="28"/>
        </w:rPr>
        <w:t>年</w:t>
      </w:r>
      <w:r>
        <w:rPr>
          <w:rFonts w:ascii="仿宋_GB2312" w:eastAsia="仿宋_GB2312" w:hAnsi="宋体"/>
          <w:snapToGrid w:val="0"/>
          <w:sz w:val="28"/>
        </w:rPr>
        <w:t>3</w:t>
      </w:r>
      <w:r>
        <w:rPr>
          <w:rFonts w:ascii="仿宋_GB2312" w:eastAsia="仿宋_GB2312" w:hAnsi="宋体" w:hint="eastAsia"/>
          <w:snapToGrid w:val="0"/>
          <w:sz w:val="28"/>
        </w:rPr>
        <w:t>月</w:t>
      </w:r>
      <w:r w:rsidR="00DE5FF8">
        <w:rPr>
          <w:rFonts w:ascii="仿宋_GB2312" w:eastAsia="仿宋_GB2312" w:hAnsi="宋体" w:hint="eastAsia"/>
          <w:snapToGrid w:val="0"/>
          <w:sz w:val="28"/>
        </w:rPr>
        <w:t>12</w:t>
      </w:r>
      <w:r>
        <w:rPr>
          <w:rFonts w:ascii="仿宋_GB2312" w:eastAsia="仿宋_GB2312" w:hAnsi="宋体" w:hint="eastAsia"/>
          <w:snapToGrid w:val="0"/>
          <w:sz w:val="28"/>
        </w:rPr>
        <w:t>日</w:t>
      </w:r>
    </w:p>
    <w:p w:rsidR="00BC4A49" w:rsidRDefault="00AC4EB7">
      <w:pPr>
        <w:tabs>
          <w:tab w:val="left" w:pos="1260"/>
        </w:tabs>
        <w:autoSpaceDE w:val="0"/>
        <w:autoSpaceDN w:val="0"/>
        <w:adjustRightInd w:val="0"/>
        <w:jc w:val="left"/>
        <w:rPr>
          <w:rFonts w:ascii="仿宋_GB2312" w:eastAsia="仿宋_GB2312" w:hAnsi="宋体"/>
          <w:snapToGrid w:val="0"/>
          <w:sz w:val="28"/>
        </w:rPr>
      </w:pPr>
      <w:r>
        <w:rPr>
          <w:rFonts w:ascii="仿宋_GB2312" w:eastAsia="仿宋_GB2312" w:hAnsi="宋体" w:hint="eastAsia"/>
          <w:snapToGrid w:val="0"/>
          <w:sz w:val="28"/>
        </w:rPr>
        <w:t>5.公告截止时间：北京时间</w:t>
      </w:r>
      <w:r>
        <w:rPr>
          <w:rFonts w:ascii="仿宋_GB2312" w:eastAsia="仿宋_GB2312" w:hAnsi="宋体"/>
          <w:snapToGrid w:val="0"/>
          <w:sz w:val="28"/>
        </w:rPr>
        <w:t>2024</w:t>
      </w:r>
      <w:r>
        <w:rPr>
          <w:rFonts w:ascii="仿宋_GB2312" w:eastAsia="仿宋_GB2312" w:hAnsi="宋体" w:hint="eastAsia"/>
          <w:snapToGrid w:val="0"/>
          <w:sz w:val="28"/>
        </w:rPr>
        <w:t>年</w:t>
      </w:r>
      <w:r w:rsidR="00DE5FF8">
        <w:rPr>
          <w:rFonts w:ascii="仿宋_GB2312" w:eastAsia="仿宋_GB2312" w:hAnsi="宋体" w:hint="eastAsia"/>
          <w:snapToGrid w:val="0"/>
          <w:sz w:val="28"/>
        </w:rPr>
        <w:t>4</w:t>
      </w:r>
      <w:r>
        <w:rPr>
          <w:rFonts w:ascii="仿宋_GB2312" w:eastAsia="仿宋_GB2312" w:hAnsi="宋体" w:hint="eastAsia"/>
          <w:snapToGrid w:val="0"/>
          <w:sz w:val="28"/>
        </w:rPr>
        <w:t>月</w:t>
      </w:r>
      <w:r w:rsidR="00DE5FF8">
        <w:rPr>
          <w:rFonts w:ascii="仿宋_GB2312" w:eastAsia="仿宋_GB2312" w:hAnsi="宋体" w:hint="eastAsia"/>
          <w:snapToGrid w:val="0"/>
          <w:sz w:val="28"/>
        </w:rPr>
        <w:t>01</w:t>
      </w:r>
      <w:r>
        <w:rPr>
          <w:rFonts w:ascii="仿宋_GB2312" w:eastAsia="仿宋_GB2312" w:hAnsi="宋体" w:hint="eastAsia"/>
          <w:snapToGrid w:val="0"/>
          <w:sz w:val="28"/>
        </w:rPr>
        <w:t>日17时</w:t>
      </w:r>
    </w:p>
    <w:p w:rsidR="00BC4A49" w:rsidRDefault="00AC4EB7">
      <w:pPr>
        <w:tabs>
          <w:tab w:val="left" w:pos="1260"/>
        </w:tabs>
        <w:autoSpaceDE w:val="0"/>
        <w:autoSpaceDN w:val="0"/>
        <w:adjustRightInd w:val="0"/>
        <w:jc w:val="left"/>
        <w:rPr>
          <w:rFonts w:ascii="仿宋_GB2312" w:eastAsia="仿宋_GB2312" w:hAnsi="宋体"/>
          <w:snapToGrid w:val="0"/>
          <w:sz w:val="28"/>
        </w:rPr>
      </w:pPr>
      <w:r>
        <w:rPr>
          <w:rFonts w:ascii="仿宋_GB2312" w:eastAsia="仿宋_GB2312" w:hAnsi="宋体" w:hint="eastAsia"/>
          <w:snapToGrid w:val="0"/>
          <w:sz w:val="28"/>
        </w:rPr>
        <w:t>6.公告人联系方式：</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江苏昆山农村商业银行股份有限公司</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地址：江苏省昆山市前进东路828号</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邮政编码：215300</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业务联系人：冯佳华</w:t>
      </w:r>
      <w:r>
        <w:rPr>
          <w:rFonts w:ascii="仿宋_GB2312" w:eastAsia="仿宋_GB2312" w:hAnsi="宋体"/>
          <w:snapToGrid w:val="0"/>
          <w:sz w:val="28"/>
        </w:rPr>
        <w:t xml:space="preserve"> </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联系电话：1</w:t>
      </w:r>
      <w:r>
        <w:rPr>
          <w:rFonts w:ascii="仿宋_GB2312" w:eastAsia="仿宋_GB2312" w:hAnsi="宋体"/>
          <w:snapToGrid w:val="0"/>
          <w:sz w:val="28"/>
        </w:rPr>
        <w:t>3773138228</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邮箱：</w:t>
      </w:r>
      <w:r>
        <w:rPr>
          <w:rFonts w:ascii="仿宋_GB2312" w:eastAsia="仿宋_GB2312" w:hAnsi="宋体"/>
          <w:snapToGrid w:val="0"/>
          <w:sz w:val="28"/>
        </w:rPr>
        <w:t>fengjiahua@ksrcb.com</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技术联系人：李颖峰</w:t>
      </w:r>
      <w:r>
        <w:rPr>
          <w:rFonts w:ascii="仿宋_GB2312" w:eastAsia="仿宋_GB2312" w:hAnsi="宋体"/>
          <w:snapToGrid w:val="0"/>
          <w:sz w:val="28"/>
        </w:rPr>
        <w:t xml:space="preserve"> </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联系电话：1</w:t>
      </w:r>
      <w:r>
        <w:rPr>
          <w:rFonts w:ascii="仿宋_GB2312" w:eastAsia="仿宋_GB2312" w:hAnsi="宋体"/>
          <w:snapToGrid w:val="0"/>
          <w:sz w:val="28"/>
        </w:rPr>
        <w:t>5195753736</w:t>
      </w:r>
    </w:p>
    <w:p w:rsidR="00BC4A49" w:rsidRDefault="00AC4EB7">
      <w:pPr>
        <w:widowControl/>
        <w:jc w:val="left"/>
        <w:rPr>
          <w:rFonts w:ascii="仿宋_GB2312" w:eastAsia="仿宋_GB2312" w:hAnsi="宋体"/>
          <w:snapToGrid w:val="0"/>
          <w:sz w:val="28"/>
        </w:rPr>
      </w:pPr>
      <w:r>
        <w:rPr>
          <w:rFonts w:ascii="仿宋_GB2312" w:eastAsia="仿宋_GB2312" w:hAnsi="宋体" w:hint="eastAsia"/>
          <w:snapToGrid w:val="0"/>
          <w:sz w:val="28"/>
        </w:rPr>
        <w:t>邮箱：</w:t>
      </w:r>
      <w:r>
        <w:rPr>
          <w:rFonts w:ascii="仿宋_GB2312" w:eastAsia="仿宋_GB2312" w:hAnsi="宋体"/>
          <w:snapToGrid w:val="0"/>
          <w:sz w:val="28"/>
        </w:rPr>
        <w:t>liyingfeng@ksrcb.com</w:t>
      </w:r>
    </w:p>
    <w:p w:rsidR="00BC4A49" w:rsidRDefault="00BC4A49">
      <w:pPr>
        <w:jc w:val="right"/>
        <w:rPr>
          <w:rFonts w:ascii="仿宋_GB2312" w:eastAsia="仿宋_GB2312" w:hAnsi="宋体"/>
          <w:snapToGrid w:val="0"/>
          <w:sz w:val="28"/>
        </w:rPr>
      </w:pPr>
    </w:p>
    <w:p w:rsidR="00BC4A49" w:rsidRDefault="00AC4EB7" w:rsidP="00DE5FF8">
      <w:pPr>
        <w:autoSpaceDE w:val="0"/>
        <w:autoSpaceDN w:val="0"/>
        <w:adjustRightInd w:val="0"/>
        <w:spacing w:line="560" w:lineRule="exact"/>
        <w:jc w:val="center"/>
        <w:outlineLvl w:val="0"/>
        <w:rPr>
          <w:rFonts w:ascii="黑体" w:eastAsia="黑体" w:hAnsi="黑体"/>
          <w:b/>
          <w:bCs/>
          <w:snapToGrid w:val="0"/>
          <w:sz w:val="28"/>
          <w:szCs w:val="28"/>
        </w:rPr>
      </w:pPr>
      <w:r>
        <w:rPr>
          <w:rFonts w:ascii="仿宋" w:eastAsia="仿宋" w:hAnsi="仿宋"/>
          <w:bCs/>
          <w:snapToGrid w:val="0"/>
          <w:sz w:val="28"/>
          <w:szCs w:val="28"/>
        </w:rPr>
        <w:br w:type="page"/>
      </w:r>
      <w:r>
        <w:rPr>
          <w:rFonts w:ascii="黑体" w:eastAsia="黑体" w:hAnsi="黑体" w:hint="eastAsia"/>
          <w:b/>
          <w:bCs/>
          <w:snapToGrid w:val="0"/>
          <w:sz w:val="28"/>
          <w:szCs w:val="28"/>
        </w:rPr>
        <w:lastRenderedPageBreak/>
        <w:t>第二部分   系统需求</w:t>
      </w:r>
    </w:p>
    <w:p w:rsidR="00BC4A49" w:rsidRDefault="00AC4EB7" w:rsidP="00DE5FF8">
      <w:pPr>
        <w:spacing w:line="560" w:lineRule="exact"/>
        <w:rPr>
          <w:rFonts w:ascii="仿宋" w:eastAsia="仿宋" w:hAnsi="仿宋"/>
          <w:sz w:val="28"/>
          <w:szCs w:val="28"/>
        </w:rPr>
      </w:pPr>
      <w:proofErr w:type="gramStart"/>
      <w:r>
        <w:rPr>
          <w:rFonts w:asciiTheme="minorEastAsia" w:eastAsiaTheme="minorEastAsia" w:hAnsiTheme="minorEastAsia" w:hint="eastAsia"/>
          <w:snapToGrid w:val="0"/>
          <w:sz w:val="28"/>
          <w:szCs w:val="28"/>
        </w:rPr>
        <w:t>一</w:t>
      </w:r>
      <w:proofErr w:type="gramEnd"/>
      <w:r>
        <w:rPr>
          <w:rFonts w:asciiTheme="minorEastAsia" w:eastAsiaTheme="minorEastAsia" w:hAnsiTheme="minorEastAsia" w:hint="eastAsia"/>
          <w:snapToGrid w:val="0"/>
          <w:sz w:val="28"/>
          <w:szCs w:val="28"/>
        </w:rPr>
        <w:t>．总体要求和项目范围</w:t>
      </w:r>
    </w:p>
    <w:p w:rsidR="00BC4A49" w:rsidRDefault="00AC4EB7" w:rsidP="00DE5FF8">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在经济修复步伐缓慢的大环境下，信贷风险管理持续承压，贷款风险持续暴露，尤其是零售贷款逾欠息及不良率呈快速上升趋势。因此，为了推动我行朝着更高质量信贷资产的发展前进，加快数字化转型的步伐，增强科技能力，节约资源，填补贷后业务管理空缺，我行</w:t>
      </w:r>
      <w:proofErr w:type="gramStart"/>
      <w:r>
        <w:rPr>
          <w:rFonts w:ascii="仿宋" w:eastAsia="仿宋" w:hAnsi="仿宋" w:cs="宋体" w:hint="eastAsia"/>
          <w:kern w:val="0"/>
          <w:sz w:val="28"/>
          <w:szCs w:val="28"/>
        </w:rPr>
        <w:t>拟启动</w:t>
      </w:r>
      <w:proofErr w:type="gramEnd"/>
      <w:r>
        <w:rPr>
          <w:rFonts w:ascii="仿宋" w:eastAsia="仿宋" w:hAnsi="仿宋" w:cs="宋体" w:hint="eastAsia"/>
          <w:kern w:val="0"/>
          <w:sz w:val="28"/>
          <w:szCs w:val="28"/>
        </w:rPr>
        <w:t>智能贷后管理系统项目。本项目为应对当前信贷市场风险挑战，提高贷后作业效率，释放客户经理效能，提升客户经理体验，探索构建数据驱动、一体化的贷后管理业务流程，包含识别、跟踪、评价、反馈和优化等机制，从而形成覆盖贷后全流程的闭环管理。</w:t>
      </w:r>
    </w:p>
    <w:p w:rsidR="00BC4A49" w:rsidRDefault="00AC4EB7" w:rsidP="00DE5FF8">
      <w:pPr>
        <w:spacing w:line="560" w:lineRule="exact"/>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二．重点功能需求</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本项目旨在打造集作业、分析、管理三位一体的一体化、自动化、智能化贷后管理体系，具体实现功能如下：</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（一）贷后检查模块</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1、开发定</w:t>
      </w:r>
      <w:proofErr w:type="gramStart"/>
      <w:r>
        <w:rPr>
          <w:rFonts w:ascii="仿宋" w:eastAsia="仿宋" w:hAnsi="仿宋" w:cs="宋体" w:hint="eastAsia"/>
          <w:kern w:val="0"/>
          <w:sz w:val="28"/>
          <w:szCs w:val="28"/>
        </w:rPr>
        <w:t>期贷</w:t>
      </w:r>
      <w:proofErr w:type="gramEnd"/>
      <w:r>
        <w:rPr>
          <w:rFonts w:ascii="仿宋" w:eastAsia="仿宋" w:hAnsi="仿宋" w:cs="宋体" w:hint="eastAsia"/>
          <w:kern w:val="0"/>
          <w:sz w:val="28"/>
          <w:szCs w:val="28"/>
        </w:rPr>
        <w:t>后引导常规监测任务、触发式+定</w:t>
      </w:r>
      <w:proofErr w:type="gramStart"/>
      <w:r>
        <w:rPr>
          <w:rFonts w:ascii="仿宋" w:eastAsia="仿宋" w:hAnsi="仿宋" w:cs="宋体" w:hint="eastAsia"/>
          <w:kern w:val="0"/>
          <w:sz w:val="28"/>
          <w:szCs w:val="28"/>
        </w:rPr>
        <w:t>期贷</w:t>
      </w:r>
      <w:proofErr w:type="gramEnd"/>
      <w:r>
        <w:rPr>
          <w:rFonts w:ascii="仿宋" w:eastAsia="仿宋" w:hAnsi="仿宋" w:cs="宋体" w:hint="eastAsia"/>
          <w:kern w:val="0"/>
          <w:sz w:val="28"/>
          <w:szCs w:val="28"/>
        </w:rPr>
        <w:t>后引导风险排查任务、触发式+定</w:t>
      </w:r>
      <w:proofErr w:type="gramStart"/>
      <w:r>
        <w:rPr>
          <w:rFonts w:ascii="仿宋" w:eastAsia="仿宋" w:hAnsi="仿宋" w:cs="宋体" w:hint="eastAsia"/>
          <w:kern w:val="0"/>
          <w:sz w:val="28"/>
          <w:szCs w:val="28"/>
        </w:rPr>
        <w:t>期贷</w:t>
      </w:r>
      <w:proofErr w:type="gramEnd"/>
      <w:r>
        <w:rPr>
          <w:rFonts w:ascii="仿宋" w:eastAsia="仿宋" w:hAnsi="仿宋" w:cs="宋体" w:hint="eastAsia"/>
          <w:kern w:val="0"/>
          <w:sz w:val="28"/>
          <w:szCs w:val="28"/>
        </w:rPr>
        <w:t>后引导风险预警联动任务，实现引导式一体化贷后，提升贷后检查质效。</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2、开发模组化贷后检查报告，实现差异化、精细化管理，实现数据、风险分析自动引入贷后，</w:t>
      </w:r>
      <w:proofErr w:type="gramStart"/>
      <w:r>
        <w:rPr>
          <w:rFonts w:ascii="仿宋" w:eastAsia="仿宋" w:hAnsi="仿宋" w:cs="宋体" w:hint="eastAsia"/>
          <w:kern w:val="0"/>
          <w:sz w:val="28"/>
          <w:szCs w:val="28"/>
        </w:rPr>
        <w:t>打造低</w:t>
      </w:r>
      <w:proofErr w:type="gramEnd"/>
      <w:r>
        <w:rPr>
          <w:rFonts w:ascii="仿宋" w:eastAsia="仿宋" w:hAnsi="仿宋" w:cs="宋体" w:hint="eastAsia"/>
          <w:kern w:val="0"/>
          <w:sz w:val="28"/>
          <w:szCs w:val="28"/>
        </w:rPr>
        <w:t>风险自动化、高风险长流程的贷后管理模式，切实为客户经理提质增效。</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3、同步优化移动PAD贷后检查，提升客户经理PAD使用率，实现客户经理在企业现场即完成贷后检查，提升移动化办公效能。</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（二）风险分类模块</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1、实现全行级常规风险分类任务，规范风险分类流程，提升分</w:t>
      </w:r>
      <w:r>
        <w:rPr>
          <w:rFonts w:ascii="仿宋" w:eastAsia="仿宋" w:hAnsi="仿宋" w:cs="宋体" w:hint="eastAsia"/>
          <w:kern w:val="0"/>
          <w:sz w:val="28"/>
          <w:szCs w:val="28"/>
        </w:rPr>
        <w:lastRenderedPageBreak/>
        <w:t>类准确性。</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2、实现模块化规则参数配置，便于应对政策变动，提升功能配置灵活性。</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3、探索风险分类结果应用，作为差异化贷后管理方案或是应用于非现场排查客户筛选条件之一。</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（三）贷后催收管理模块</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1、打造催收作业线上化、催收管理结构化、催收动作精准化的催收管理体系，提升催收效能，并配套催收作业工具（如智能外呼、短信催收等）。</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2、探索客户履约画像行为标签，分析客户回收概率，实施客群分层分类管理，提升催收质效。</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（四）贷后管理驾驶舱模块</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1、构建经营机构、客户经理、总行管理人员的贷后管理全景画像，实现机构、人员管理的精细化。</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2、作业效率监控（如对客户经理作业跟踪、超时监控、一键督办等）。</w:t>
      </w:r>
    </w:p>
    <w:p w:rsidR="00BC4A49" w:rsidRDefault="00AC4EB7" w:rsidP="00DE5FF8">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3、作业效果评价（如对客户经理贷后评价、作业质量评价、日常排查监督反馈等）。</w:t>
      </w:r>
    </w:p>
    <w:p w:rsidR="00067B83" w:rsidRDefault="00067B83" w:rsidP="00067B83">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（五）贷后</w:t>
      </w:r>
      <w:r>
        <w:rPr>
          <w:rFonts w:ascii="仿宋" w:eastAsia="仿宋" w:hAnsi="仿宋" w:cs="宋体"/>
          <w:kern w:val="0"/>
          <w:sz w:val="28"/>
          <w:szCs w:val="28"/>
        </w:rPr>
        <w:t>管理</w:t>
      </w:r>
      <w:r>
        <w:rPr>
          <w:rFonts w:ascii="仿宋" w:eastAsia="仿宋" w:hAnsi="仿宋" w:cs="宋体" w:hint="eastAsia"/>
          <w:kern w:val="0"/>
          <w:sz w:val="28"/>
          <w:szCs w:val="28"/>
        </w:rPr>
        <w:t>数据</w:t>
      </w:r>
      <w:r>
        <w:rPr>
          <w:rFonts w:ascii="仿宋" w:eastAsia="仿宋" w:hAnsi="仿宋" w:cs="宋体"/>
          <w:kern w:val="0"/>
          <w:sz w:val="28"/>
          <w:szCs w:val="28"/>
        </w:rPr>
        <w:t>集市</w:t>
      </w:r>
      <w:r>
        <w:rPr>
          <w:rFonts w:ascii="仿宋" w:eastAsia="仿宋" w:hAnsi="仿宋" w:cs="宋体" w:hint="eastAsia"/>
          <w:kern w:val="0"/>
          <w:sz w:val="28"/>
          <w:szCs w:val="28"/>
        </w:rPr>
        <w:t>模块</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1、按照贷后管理系统的数据要求，对我行的</w:t>
      </w:r>
      <w:proofErr w:type="gramStart"/>
      <w:r w:rsidRPr="00067B83">
        <w:rPr>
          <w:rFonts w:ascii="仿宋" w:eastAsia="仿宋" w:hAnsi="仿宋" w:cs="宋体"/>
          <w:kern w:val="0"/>
          <w:sz w:val="28"/>
          <w:szCs w:val="28"/>
        </w:rPr>
        <w:t>数据湖</w:t>
      </w:r>
      <w:proofErr w:type="gramEnd"/>
      <w:r w:rsidRPr="00067B83">
        <w:rPr>
          <w:rFonts w:ascii="仿宋" w:eastAsia="仿宋" w:hAnsi="仿宋" w:cs="宋体"/>
          <w:kern w:val="0"/>
          <w:sz w:val="28"/>
          <w:szCs w:val="28"/>
        </w:rPr>
        <w:t>和</w:t>
      </w:r>
      <w:proofErr w:type="gramStart"/>
      <w:r w:rsidRPr="00067B83">
        <w:rPr>
          <w:rFonts w:ascii="仿宋" w:eastAsia="仿宋" w:hAnsi="仿宋" w:cs="宋体"/>
          <w:kern w:val="0"/>
          <w:sz w:val="28"/>
          <w:szCs w:val="28"/>
        </w:rPr>
        <w:t>源系统</w:t>
      </w:r>
      <w:proofErr w:type="gramEnd"/>
      <w:r w:rsidRPr="00067B83">
        <w:rPr>
          <w:rFonts w:ascii="仿宋" w:eastAsia="仿宋" w:hAnsi="仿宋" w:cs="宋体"/>
          <w:kern w:val="0"/>
          <w:sz w:val="28"/>
          <w:szCs w:val="28"/>
        </w:rPr>
        <w:t>进行数据分析，</w:t>
      </w:r>
      <w:r w:rsidR="003B2D52">
        <w:rPr>
          <w:rFonts w:ascii="仿宋" w:eastAsia="仿宋" w:hAnsi="仿宋" w:cs="宋体"/>
          <w:kern w:val="0"/>
          <w:sz w:val="28"/>
          <w:szCs w:val="28"/>
        </w:rPr>
        <w:t>形成入湖数据清单</w:t>
      </w:r>
      <w:r w:rsidR="002F5AD8">
        <w:rPr>
          <w:rFonts w:ascii="仿宋" w:eastAsia="仿宋" w:hAnsi="仿宋" w:cs="宋体" w:hint="eastAsia"/>
          <w:kern w:val="0"/>
          <w:sz w:val="28"/>
          <w:szCs w:val="28"/>
        </w:rPr>
        <w:t>；</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2、按照数据管理</w:t>
      </w:r>
      <w:proofErr w:type="gramStart"/>
      <w:r w:rsidRPr="00067B83">
        <w:rPr>
          <w:rFonts w:ascii="仿宋" w:eastAsia="仿宋" w:hAnsi="仿宋" w:cs="宋体"/>
          <w:kern w:val="0"/>
          <w:sz w:val="28"/>
          <w:szCs w:val="28"/>
        </w:rPr>
        <w:t>部数据</w:t>
      </w:r>
      <w:proofErr w:type="gramEnd"/>
      <w:r w:rsidRPr="00067B83">
        <w:rPr>
          <w:rFonts w:ascii="仿宋" w:eastAsia="仿宋" w:hAnsi="仿宋" w:cs="宋体"/>
          <w:kern w:val="0"/>
          <w:sz w:val="28"/>
          <w:szCs w:val="28"/>
        </w:rPr>
        <w:t>架构</w:t>
      </w:r>
      <w:r w:rsidR="002F5AD8">
        <w:rPr>
          <w:rFonts w:ascii="仿宋" w:eastAsia="仿宋" w:hAnsi="仿宋" w:cs="宋体"/>
          <w:kern w:val="0"/>
          <w:sz w:val="28"/>
          <w:szCs w:val="28"/>
        </w:rPr>
        <w:t>要求，使用我行统一数据开发工具进行数据开发和相应的项目管理工具</w:t>
      </w:r>
      <w:r w:rsidR="002F5AD8">
        <w:rPr>
          <w:rFonts w:ascii="仿宋" w:eastAsia="仿宋" w:hAnsi="仿宋" w:cs="宋体" w:hint="eastAsia"/>
          <w:kern w:val="0"/>
          <w:sz w:val="28"/>
          <w:szCs w:val="28"/>
        </w:rPr>
        <w:t>；</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3、对于没有进入</w:t>
      </w:r>
      <w:proofErr w:type="gramStart"/>
      <w:r w:rsidRPr="00067B83">
        <w:rPr>
          <w:rFonts w:ascii="仿宋" w:eastAsia="仿宋" w:hAnsi="仿宋" w:cs="宋体"/>
          <w:kern w:val="0"/>
          <w:sz w:val="28"/>
          <w:szCs w:val="28"/>
        </w:rPr>
        <w:t>数据湖</w:t>
      </w:r>
      <w:proofErr w:type="gramEnd"/>
      <w:r w:rsidRPr="00067B83">
        <w:rPr>
          <w:rFonts w:ascii="仿宋" w:eastAsia="仿宋" w:hAnsi="仿宋" w:cs="宋体"/>
          <w:kern w:val="0"/>
          <w:sz w:val="28"/>
          <w:szCs w:val="28"/>
        </w:rPr>
        <w:t>标准层的数据做标准层数据开发（字段</w:t>
      </w:r>
      <w:r w:rsidRPr="00067B83">
        <w:rPr>
          <w:rFonts w:ascii="仿宋" w:eastAsia="仿宋" w:hAnsi="仿宋" w:cs="宋体"/>
          <w:kern w:val="0"/>
          <w:sz w:val="28"/>
          <w:szCs w:val="28"/>
        </w:rPr>
        <w:lastRenderedPageBreak/>
        <w:t>名称对标、码值对标、清除脏数据、清楚冗余数据）；</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4、数据湖中模型没有的字段和模型优化和新建相关的数据模型（新增的数据模型需要考虑可扩展性）；</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5、按照贷后管理系统的需求构建相关的基础数据指标和衍生数据指标；</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6、根据贷后管理系统的接口需求，提供对应的数据接口；</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7、对贷后管理系统回流的数据进行数据接入；</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8、按照数据管理部要求提供相关的需求、设计等文档；</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9、项目组人员按照数据管理部要求，分为需求分析组、模型设计组和数据开发组并且配备对应的组长，相关人员不能跨组使用；</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10、数据集市项目组必须配备独立的项目经理；</w:t>
      </w:r>
    </w:p>
    <w:p w:rsidR="00067B83" w:rsidRPr="00067B83" w:rsidRDefault="00067B83" w:rsidP="00067B83">
      <w:pPr>
        <w:spacing w:line="560" w:lineRule="exact"/>
        <w:ind w:firstLineChars="200" w:firstLine="560"/>
        <w:rPr>
          <w:rFonts w:ascii="仿宋" w:eastAsia="仿宋" w:hAnsi="仿宋" w:cs="宋体"/>
          <w:kern w:val="0"/>
          <w:sz w:val="28"/>
          <w:szCs w:val="28"/>
        </w:rPr>
      </w:pPr>
      <w:r w:rsidRPr="00067B83">
        <w:rPr>
          <w:rFonts w:ascii="仿宋" w:eastAsia="仿宋" w:hAnsi="仿宋" w:cs="宋体"/>
          <w:kern w:val="0"/>
          <w:sz w:val="28"/>
          <w:szCs w:val="28"/>
        </w:rPr>
        <w:t>11、原则下游系统所有数据加工逻辑都需要统一纳入到数据湖中进行加工处理。</w:t>
      </w:r>
    </w:p>
    <w:p w:rsidR="00BC4A49" w:rsidRDefault="00AC4EB7" w:rsidP="00DE5FF8">
      <w:pPr>
        <w:widowControl/>
        <w:spacing w:line="560" w:lineRule="exact"/>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三．重要技术要求</w:t>
      </w:r>
    </w:p>
    <w:tbl>
      <w:tblPr>
        <w:tblW w:w="8311" w:type="dxa"/>
        <w:tblInd w:w="-30" w:type="dxa"/>
        <w:tblLayout w:type="fixed"/>
        <w:tblLook w:val="04A0" w:firstRow="1" w:lastRow="0" w:firstColumn="1" w:lastColumn="0" w:noHBand="0" w:noVBand="1"/>
      </w:tblPr>
      <w:tblGrid>
        <w:gridCol w:w="1853"/>
        <w:gridCol w:w="2273"/>
        <w:gridCol w:w="714"/>
        <w:gridCol w:w="3471"/>
      </w:tblGrid>
      <w:tr w:rsidR="00BC4A49">
        <w:trPr>
          <w:trHeight w:val="270"/>
        </w:trPr>
        <w:tc>
          <w:tcPr>
            <w:tcW w:w="1853" w:type="dxa"/>
            <w:tcBorders>
              <w:top w:val="single" w:sz="8" w:space="0" w:color="auto"/>
              <w:left w:val="single" w:sz="8" w:space="0" w:color="auto"/>
              <w:bottom w:val="nil"/>
              <w:right w:val="single" w:sz="4" w:space="0" w:color="auto"/>
            </w:tcBorders>
            <w:shd w:val="clear" w:color="000000" w:fill="BFBFBF"/>
            <w:noWrap/>
            <w:vAlign w:val="center"/>
          </w:tcPr>
          <w:p w:rsidR="00BC4A49" w:rsidRDefault="00AC4EB7">
            <w:pPr>
              <w:widowControl/>
              <w:jc w:val="center"/>
              <w:rPr>
                <w:rFonts w:ascii="宋体" w:hAnsi="宋体" w:cs="宋体"/>
                <w:b/>
                <w:bCs/>
                <w:kern w:val="0"/>
                <w:sz w:val="22"/>
                <w:szCs w:val="22"/>
              </w:rPr>
            </w:pPr>
            <w:r>
              <w:rPr>
                <w:rFonts w:ascii="宋体" w:hAnsi="宋体" w:cs="宋体" w:hint="eastAsia"/>
                <w:b/>
                <w:bCs/>
                <w:kern w:val="0"/>
                <w:sz w:val="22"/>
                <w:szCs w:val="22"/>
              </w:rPr>
              <w:t>评分项</w:t>
            </w:r>
          </w:p>
        </w:tc>
        <w:tc>
          <w:tcPr>
            <w:tcW w:w="2273" w:type="dxa"/>
            <w:tcBorders>
              <w:top w:val="single" w:sz="8" w:space="0" w:color="auto"/>
              <w:left w:val="nil"/>
              <w:bottom w:val="nil"/>
              <w:right w:val="single" w:sz="4" w:space="0" w:color="auto"/>
            </w:tcBorders>
            <w:shd w:val="clear" w:color="000000" w:fill="BFBFBF"/>
            <w:noWrap/>
            <w:vAlign w:val="center"/>
          </w:tcPr>
          <w:p w:rsidR="00BC4A49" w:rsidRDefault="00AC4EB7">
            <w:pPr>
              <w:widowControl/>
              <w:jc w:val="left"/>
              <w:rPr>
                <w:rFonts w:ascii="宋体" w:hAnsi="宋体" w:cs="宋体"/>
                <w:b/>
                <w:bCs/>
                <w:kern w:val="0"/>
                <w:sz w:val="22"/>
                <w:szCs w:val="22"/>
              </w:rPr>
            </w:pPr>
            <w:r>
              <w:rPr>
                <w:rFonts w:ascii="宋体" w:hAnsi="宋体" w:cs="宋体" w:hint="eastAsia"/>
                <w:b/>
                <w:bCs/>
                <w:kern w:val="0"/>
                <w:sz w:val="22"/>
                <w:szCs w:val="22"/>
              </w:rPr>
              <w:t>准入条件</w:t>
            </w:r>
          </w:p>
        </w:tc>
        <w:tc>
          <w:tcPr>
            <w:tcW w:w="714" w:type="dxa"/>
            <w:tcBorders>
              <w:top w:val="single" w:sz="8" w:space="0" w:color="auto"/>
              <w:left w:val="nil"/>
              <w:bottom w:val="nil"/>
              <w:right w:val="single" w:sz="4" w:space="0" w:color="auto"/>
            </w:tcBorders>
            <w:shd w:val="clear" w:color="000000" w:fill="BFBFBF"/>
            <w:noWrap/>
            <w:vAlign w:val="center"/>
          </w:tcPr>
          <w:p w:rsidR="00BC4A49" w:rsidRDefault="00AC4EB7">
            <w:pPr>
              <w:widowControl/>
              <w:jc w:val="center"/>
              <w:rPr>
                <w:rFonts w:ascii="宋体" w:hAnsi="宋体" w:cs="宋体"/>
                <w:b/>
                <w:bCs/>
                <w:kern w:val="0"/>
                <w:sz w:val="22"/>
                <w:szCs w:val="22"/>
              </w:rPr>
            </w:pPr>
            <w:r>
              <w:rPr>
                <w:rFonts w:ascii="宋体" w:hAnsi="宋体" w:cs="宋体" w:hint="eastAsia"/>
                <w:b/>
                <w:bCs/>
                <w:kern w:val="0"/>
                <w:sz w:val="22"/>
                <w:szCs w:val="22"/>
              </w:rPr>
              <w:t>是否准入</w:t>
            </w:r>
          </w:p>
        </w:tc>
        <w:tc>
          <w:tcPr>
            <w:tcW w:w="3471" w:type="dxa"/>
            <w:tcBorders>
              <w:top w:val="single" w:sz="8" w:space="0" w:color="auto"/>
              <w:left w:val="nil"/>
              <w:bottom w:val="nil"/>
              <w:right w:val="single" w:sz="8" w:space="0" w:color="auto"/>
            </w:tcBorders>
            <w:shd w:val="clear" w:color="000000" w:fill="BFBFBF"/>
            <w:noWrap/>
            <w:vAlign w:val="center"/>
          </w:tcPr>
          <w:p w:rsidR="00BC4A49" w:rsidRDefault="00AC4EB7">
            <w:pPr>
              <w:widowControl/>
              <w:jc w:val="left"/>
              <w:rPr>
                <w:rFonts w:ascii="宋体" w:hAnsi="宋体" w:cs="宋体"/>
                <w:b/>
                <w:bCs/>
                <w:kern w:val="0"/>
                <w:sz w:val="22"/>
                <w:szCs w:val="22"/>
              </w:rPr>
            </w:pPr>
            <w:r>
              <w:rPr>
                <w:rFonts w:ascii="宋体" w:hAnsi="宋体" w:cs="宋体" w:hint="eastAsia"/>
                <w:b/>
                <w:bCs/>
                <w:kern w:val="0"/>
                <w:sz w:val="22"/>
                <w:szCs w:val="22"/>
              </w:rPr>
              <w:t>备注</w:t>
            </w:r>
          </w:p>
        </w:tc>
      </w:tr>
      <w:tr w:rsidR="00BC4A49">
        <w:trPr>
          <w:trHeight w:val="270"/>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操作系统</w:t>
            </w:r>
          </w:p>
        </w:tc>
        <w:tc>
          <w:tcPr>
            <w:tcW w:w="2273" w:type="dxa"/>
            <w:tcBorders>
              <w:top w:val="single" w:sz="4" w:space="0" w:color="auto"/>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银河麒麟V10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single" w:sz="4" w:space="0" w:color="auto"/>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应用均采用操作系统为Redhat7.9</w:t>
            </w:r>
            <w:r>
              <w:rPr>
                <w:rFonts w:ascii="宋体" w:hAnsi="宋体" w:cs="宋体" w:hint="eastAsia"/>
                <w:kern w:val="0"/>
                <w:sz w:val="22"/>
                <w:szCs w:val="22"/>
              </w:rPr>
              <w:br/>
              <w:t>无特殊情况不得使用AIX、</w:t>
            </w:r>
            <w:r>
              <w:rPr>
                <w:rFonts w:ascii="宋体" w:hAnsi="宋体" w:cs="宋体"/>
                <w:kern w:val="0"/>
                <w:sz w:val="22"/>
                <w:szCs w:val="22"/>
              </w:rPr>
              <w:t>W</w:t>
            </w:r>
            <w:r>
              <w:rPr>
                <w:rFonts w:ascii="宋体" w:hAnsi="宋体" w:cs="宋体" w:hint="eastAsia"/>
                <w:kern w:val="0"/>
                <w:sz w:val="22"/>
                <w:szCs w:val="22"/>
              </w:rPr>
              <w:t>indows</w:t>
            </w: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分布式系统日志收集和监控预警</w:t>
            </w:r>
          </w:p>
        </w:tc>
        <w:tc>
          <w:tcPr>
            <w:tcW w:w="2273"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分布式系统具备日志收集和监控预警模块功能</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分布式系统具备日志收集和监控预警模块功能；</w:t>
            </w:r>
            <w:r>
              <w:rPr>
                <w:rFonts w:ascii="宋体" w:hAnsi="宋体" w:cs="宋体" w:hint="eastAsia"/>
                <w:kern w:val="0"/>
                <w:sz w:val="22"/>
                <w:szCs w:val="22"/>
              </w:rPr>
              <w:br/>
              <w:t>单体架构的系统无此要求</w:t>
            </w: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报文格式</w:t>
            </w:r>
          </w:p>
        </w:tc>
        <w:tc>
          <w:tcPr>
            <w:tcW w:w="2273"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JSON</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结合项目实际情况，列出系统所需支持的报文格式，</w:t>
            </w:r>
            <w:r>
              <w:rPr>
                <w:rFonts w:ascii="宋体" w:hAnsi="宋体" w:cs="宋体" w:hint="eastAsia"/>
                <w:kern w:val="0"/>
                <w:sz w:val="22"/>
                <w:szCs w:val="22"/>
              </w:rPr>
              <w:br/>
              <w:t>例如行内系统间交互，必须支持SOAP</w:t>
            </w:r>
          </w:p>
        </w:tc>
      </w:tr>
      <w:tr w:rsidR="00BC4A49">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开发语言</w:t>
            </w:r>
          </w:p>
        </w:tc>
        <w:tc>
          <w:tcPr>
            <w:tcW w:w="2273"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Java</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vMerge w:val="restart"/>
            <w:tcBorders>
              <w:top w:val="nil"/>
              <w:left w:val="single" w:sz="4" w:space="0" w:color="auto"/>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应用开发倾向Java</w:t>
            </w:r>
            <w:r>
              <w:rPr>
                <w:rFonts w:ascii="宋体" w:hAnsi="宋体" w:cs="宋体" w:hint="eastAsia"/>
                <w:kern w:val="0"/>
                <w:sz w:val="22"/>
                <w:szCs w:val="22"/>
              </w:rPr>
              <w:br/>
              <w:t>大数据开发使用python</w:t>
            </w:r>
          </w:p>
        </w:tc>
      </w:tr>
      <w:tr w:rsidR="00BC4A49">
        <w:trPr>
          <w:trHeight w:val="270"/>
        </w:trPr>
        <w:tc>
          <w:tcPr>
            <w:tcW w:w="1853" w:type="dxa"/>
            <w:vMerge/>
            <w:tcBorders>
              <w:top w:val="nil"/>
              <w:left w:val="single" w:sz="4" w:space="0" w:color="auto"/>
              <w:bottom w:val="single" w:sz="4" w:space="0" w:color="auto"/>
              <w:right w:val="single" w:sz="4" w:space="0" w:color="auto"/>
            </w:tcBorders>
            <w:vAlign w:val="center"/>
          </w:tcPr>
          <w:p w:rsidR="00BC4A49" w:rsidRDefault="00BC4A49">
            <w:pPr>
              <w:widowControl/>
              <w:jc w:val="left"/>
              <w:rPr>
                <w:rFonts w:ascii="宋体" w:hAnsi="宋体" w:cs="宋体"/>
                <w:kern w:val="0"/>
                <w:sz w:val="22"/>
                <w:szCs w:val="22"/>
              </w:rPr>
            </w:pPr>
          </w:p>
        </w:tc>
        <w:tc>
          <w:tcPr>
            <w:tcW w:w="2273"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Python</w:t>
            </w:r>
          </w:p>
        </w:tc>
        <w:tc>
          <w:tcPr>
            <w:tcW w:w="714" w:type="dxa"/>
            <w:vMerge/>
            <w:tcBorders>
              <w:top w:val="nil"/>
              <w:left w:val="single" w:sz="4" w:space="0" w:color="auto"/>
              <w:bottom w:val="single" w:sz="4" w:space="0" w:color="auto"/>
              <w:right w:val="single" w:sz="4" w:space="0" w:color="auto"/>
            </w:tcBorders>
            <w:vAlign w:val="center"/>
          </w:tcPr>
          <w:p w:rsidR="00BC4A49" w:rsidRDefault="00BC4A49">
            <w:pPr>
              <w:widowControl/>
              <w:jc w:val="left"/>
              <w:rPr>
                <w:rFonts w:ascii="宋体" w:hAnsi="宋体" w:cs="宋体"/>
                <w:kern w:val="0"/>
                <w:sz w:val="22"/>
                <w:szCs w:val="22"/>
              </w:rPr>
            </w:pPr>
          </w:p>
        </w:tc>
        <w:tc>
          <w:tcPr>
            <w:tcW w:w="3471" w:type="dxa"/>
            <w:vMerge/>
            <w:tcBorders>
              <w:top w:val="nil"/>
              <w:left w:val="single" w:sz="4" w:space="0" w:color="auto"/>
              <w:bottom w:val="single" w:sz="4" w:space="0" w:color="auto"/>
              <w:right w:val="single" w:sz="4" w:space="0" w:color="auto"/>
            </w:tcBorders>
            <w:vAlign w:val="center"/>
          </w:tcPr>
          <w:p w:rsidR="00BC4A49" w:rsidRDefault="00BC4A49">
            <w:pPr>
              <w:widowControl/>
              <w:jc w:val="left"/>
              <w:rPr>
                <w:rFonts w:ascii="宋体" w:hAnsi="宋体" w:cs="宋体"/>
                <w:kern w:val="0"/>
                <w:sz w:val="22"/>
                <w:szCs w:val="22"/>
              </w:rPr>
            </w:pPr>
          </w:p>
        </w:tc>
      </w:tr>
      <w:tr w:rsidR="00BC4A49">
        <w:trPr>
          <w:trHeight w:val="270"/>
        </w:trPr>
        <w:tc>
          <w:tcPr>
            <w:tcW w:w="1853" w:type="dxa"/>
            <w:vMerge w:val="restart"/>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浏览器内核版本支持</w:t>
            </w:r>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Chrome v69及以上</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vMerge w:val="restart"/>
            <w:tcBorders>
              <w:top w:val="nil"/>
              <w:left w:val="single" w:sz="4" w:space="0" w:color="auto"/>
              <w:bottom w:val="single" w:sz="4" w:space="0" w:color="000000"/>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Windows：Chrome v69</w:t>
            </w:r>
            <w:proofErr w:type="gramStart"/>
            <w:r>
              <w:rPr>
                <w:rFonts w:ascii="宋体" w:hAnsi="宋体" w:cs="宋体" w:hint="eastAsia"/>
                <w:kern w:val="0"/>
                <w:sz w:val="22"/>
                <w:szCs w:val="22"/>
              </w:rPr>
              <w:t>及以上</w:t>
            </w:r>
            <w:proofErr w:type="gramEnd"/>
            <w:r>
              <w:rPr>
                <w:rFonts w:ascii="宋体" w:hAnsi="宋体" w:cs="宋体" w:hint="eastAsia"/>
                <w:kern w:val="0"/>
                <w:sz w:val="22"/>
                <w:szCs w:val="22"/>
              </w:rPr>
              <w:br/>
            </w:r>
            <w:proofErr w:type="spellStart"/>
            <w:r>
              <w:rPr>
                <w:rFonts w:ascii="宋体" w:hAnsi="宋体" w:cs="宋体" w:hint="eastAsia"/>
                <w:kern w:val="0"/>
                <w:sz w:val="22"/>
                <w:szCs w:val="22"/>
              </w:rPr>
              <w:t>Android:Android</w:t>
            </w:r>
            <w:proofErr w:type="spellEnd"/>
            <w:r>
              <w:rPr>
                <w:rFonts w:ascii="宋体" w:hAnsi="宋体" w:cs="宋体" w:hint="eastAsia"/>
                <w:kern w:val="0"/>
                <w:sz w:val="22"/>
                <w:szCs w:val="22"/>
              </w:rPr>
              <w:t>内核4.4以上浏览器版本</w:t>
            </w:r>
            <w:r>
              <w:rPr>
                <w:rFonts w:ascii="宋体" w:hAnsi="宋体" w:cs="宋体" w:hint="eastAsia"/>
                <w:kern w:val="0"/>
                <w:sz w:val="22"/>
                <w:szCs w:val="22"/>
              </w:rPr>
              <w:br/>
              <w:t>IOS：IOS8及以上</w:t>
            </w:r>
          </w:p>
        </w:tc>
      </w:tr>
      <w:tr w:rsidR="00BC4A49">
        <w:trPr>
          <w:trHeight w:val="270"/>
        </w:trPr>
        <w:tc>
          <w:tcPr>
            <w:tcW w:w="1853" w:type="dxa"/>
            <w:vMerge/>
            <w:tcBorders>
              <w:top w:val="nil"/>
              <w:left w:val="single" w:sz="4" w:space="0" w:color="auto"/>
              <w:bottom w:val="single" w:sz="4" w:space="0" w:color="auto"/>
              <w:right w:val="single" w:sz="4" w:space="0" w:color="auto"/>
            </w:tcBorders>
            <w:vAlign w:val="center"/>
          </w:tcPr>
          <w:p w:rsidR="00BC4A49" w:rsidRDefault="00BC4A49">
            <w:pPr>
              <w:widowControl/>
              <w:jc w:val="left"/>
              <w:rPr>
                <w:rFonts w:ascii="宋体" w:hAnsi="宋体" w:cs="宋体"/>
                <w:kern w:val="0"/>
                <w:sz w:val="22"/>
                <w:szCs w:val="22"/>
              </w:rPr>
            </w:pPr>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Android内核4.4以上浏览器版本</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vMerge/>
            <w:tcBorders>
              <w:top w:val="nil"/>
              <w:left w:val="single" w:sz="4" w:space="0" w:color="auto"/>
              <w:bottom w:val="single" w:sz="4" w:space="0" w:color="000000"/>
              <w:right w:val="single" w:sz="4" w:space="0" w:color="auto"/>
            </w:tcBorders>
            <w:vAlign w:val="center"/>
          </w:tcPr>
          <w:p w:rsidR="00BC4A49" w:rsidRDefault="00BC4A49">
            <w:pPr>
              <w:widowControl/>
              <w:jc w:val="left"/>
              <w:rPr>
                <w:rFonts w:ascii="宋体" w:hAnsi="宋体" w:cs="宋体"/>
                <w:kern w:val="0"/>
                <w:sz w:val="22"/>
                <w:szCs w:val="22"/>
              </w:rPr>
            </w:pPr>
          </w:p>
        </w:tc>
      </w:tr>
      <w:tr w:rsidR="00BC4A49">
        <w:trPr>
          <w:trHeight w:val="270"/>
        </w:trPr>
        <w:tc>
          <w:tcPr>
            <w:tcW w:w="1853" w:type="dxa"/>
            <w:vMerge/>
            <w:tcBorders>
              <w:top w:val="nil"/>
              <w:left w:val="single" w:sz="4" w:space="0" w:color="auto"/>
              <w:bottom w:val="single" w:sz="4" w:space="0" w:color="auto"/>
              <w:right w:val="single" w:sz="4" w:space="0" w:color="auto"/>
            </w:tcBorders>
            <w:vAlign w:val="center"/>
          </w:tcPr>
          <w:p w:rsidR="00BC4A49" w:rsidRDefault="00BC4A49">
            <w:pPr>
              <w:widowControl/>
              <w:jc w:val="left"/>
              <w:rPr>
                <w:rFonts w:ascii="宋体" w:hAnsi="宋体" w:cs="宋体"/>
                <w:kern w:val="0"/>
                <w:sz w:val="22"/>
                <w:szCs w:val="22"/>
              </w:rPr>
            </w:pPr>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IOS8及以上</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vMerge/>
            <w:tcBorders>
              <w:top w:val="nil"/>
              <w:left w:val="single" w:sz="4" w:space="0" w:color="auto"/>
              <w:bottom w:val="single" w:sz="4" w:space="0" w:color="000000"/>
              <w:right w:val="single" w:sz="4" w:space="0" w:color="auto"/>
            </w:tcBorders>
            <w:vAlign w:val="center"/>
          </w:tcPr>
          <w:p w:rsidR="00BC4A49" w:rsidRDefault="00BC4A49">
            <w:pPr>
              <w:widowControl/>
              <w:jc w:val="left"/>
              <w:rPr>
                <w:rFonts w:ascii="宋体" w:hAnsi="宋体" w:cs="宋体"/>
                <w:kern w:val="0"/>
                <w:sz w:val="22"/>
                <w:szCs w:val="22"/>
              </w:rPr>
            </w:pP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高可用架构</w:t>
            </w:r>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系统必须具备高可用架构，重要系统需具</w:t>
            </w:r>
            <w:r>
              <w:rPr>
                <w:rFonts w:ascii="宋体" w:hAnsi="宋体" w:cs="宋体" w:hint="eastAsia"/>
                <w:kern w:val="0"/>
                <w:sz w:val="22"/>
                <w:szCs w:val="22"/>
              </w:rPr>
              <w:lastRenderedPageBreak/>
              <w:t>备双中心双</w:t>
            </w:r>
            <w:proofErr w:type="gramStart"/>
            <w:r>
              <w:rPr>
                <w:rFonts w:ascii="宋体" w:hAnsi="宋体" w:cs="宋体" w:hint="eastAsia"/>
                <w:kern w:val="0"/>
                <w:sz w:val="22"/>
                <w:szCs w:val="22"/>
              </w:rPr>
              <w:t>活能力</w:t>
            </w:r>
            <w:proofErr w:type="gramEnd"/>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lastRenderedPageBreak/>
              <w:t>准入</w:t>
            </w:r>
          </w:p>
        </w:tc>
        <w:tc>
          <w:tcPr>
            <w:tcW w:w="3471"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提供详细的系统架构说明材料</w:t>
            </w: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proofErr w:type="gramStart"/>
            <w:r>
              <w:rPr>
                <w:rFonts w:ascii="宋体" w:hAnsi="宋体" w:cs="宋体" w:hint="eastAsia"/>
                <w:kern w:val="0"/>
                <w:sz w:val="22"/>
                <w:szCs w:val="22"/>
              </w:rPr>
              <w:lastRenderedPageBreak/>
              <w:t>信创支持</w:t>
            </w:r>
            <w:proofErr w:type="gramEnd"/>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支持国产服务器（鲲鹏、海光芯片），国产操作系统（银河麒麟等），国产中间件（东方通等），国产数据库（TDSQL等），国产浏览器（统信浏览器等），国产外设，JDK（</w:t>
            </w:r>
            <w:proofErr w:type="spellStart"/>
            <w:r>
              <w:rPr>
                <w:rFonts w:ascii="宋体" w:hAnsi="宋体" w:cs="宋体" w:hint="eastAsia"/>
                <w:kern w:val="0"/>
                <w:sz w:val="22"/>
                <w:szCs w:val="22"/>
              </w:rPr>
              <w:t>OpenJDK</w:t>
            </w:r>
            <w:proofErr w:type="spellEnd"/>
            <w:r>
              <w:rPr>
                <w:rFonts w:ascii="宋体" w:hAnsi="宋体" w:cs="宋体" w:hint="eastAsia"/>
                <w:kern w:val="0"/>
                <w:sz w:val="22"/>
                <w:szCs w:val="22"/>
              </w:rPr>
              <w:t>）等，项目建设符合人行全</w:t>
            </w:r>
            <w:proofErr w:type="gramStart"/>
            <w:r>
              <w:rPr>
                <w:rFonts w:ascii="宋体" w:hAnsi="宋体" w:cs="宋体" w:hint="eastAsia"/>
                <w:kern w:val="0"/>
                <w:sz w:val="22"/>
                <w:szCs w:val="22"/>
              </w:rPr>
              <w:t>栈信创</w:t>
            </w:r>
            <w:proofErr w:type="gramEnd"/>
            <w:r>
              <w:rPr>
                <w:rFonts w:ascii="宋体" w:hAnsi="宋体" w:cs="宋体" w:hint="eastAsia"/>
                <w:kern w:val="0"/>
                <w:sz w:val="22"/>
                <w:szCs w:val="22"/>
              </w:rPr>
              <w:t>验收标准</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提供详细的系统全</w:t>
            </w:r>
            <w:proofErr w:type="gramStart"/>
            <w:r>
              <w:rPr>
                <w:rFonts w:ascii="宋体" w:hAnsi="宋体" w:cs="宋体" w:hint="eastAsia"/>
                <w:kern w:val="0"/>
                <w:sz w:val="22"/>
                <w:szCs w:val="22"/>
              </w:rPr>
              <w:t>栈信创</w:t>
            </w:r>
            <w:proofErr w:type="gramEnd"/>
            <w:r>
              <w:rPr>
                <w:rFonts w:ascii="宋体" w:hAnsi="宋体" w:cs="宋体" w:hint="eastAsia"/>
                <w:kern w:val="0"/>
                <w:sz w:val="22"/>
                <w:szCs w:val="22"/>
              </w:rPr>
              <w:t>配置清单</w:t>
            </w: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分布式</w:t>
            </w:r>
            <w:proofErr w:type="gramStart"/>
            <w:r>
              <w:rPr>
                <w:rFonts w:ascii="宋体" w:hAnsi="宋体" w:cs="宋体" w:hint="eastAsia"/>
                <w:kern w:val="0"/>
                <w:sz w:val="22"/>
                <w:szCs w:val="22"/>
              </w:rPr>
              <w:t>微服务技术栈</w:t>
            </w:r>
            <w:proofErr w:type="gramEnd"/>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涉及分布式</w:t>
            </w:r>
            <w:proofErr w:type="gramStart"/>
            <w:r>
              <w:rPr>
                <w:rFonts w:ascii="宋体" w:hAnsi="宋体" w:cs="宋体" w:hint="eastAsia"/>
                <w:kern w:val="0"/>
                <w:sz w:val="22"/>
                <w:szCs w:val="22"/>
              </w:rPr>
              <w:t>微服务</w:t>
            </w:r>
            <w:proofErr w:type="gramEnd"/>
            <w:r>
              <w:rPr>
                <w:rFonts w:ascii="宋体" w:hAnsi="宋体" w:cs="宋体" w:hint="eastAsia"/>
                <w:kern w:val="0"/>
                <w:sz w:val="22"/>
                <w:szCs w:val="22"/>
              </w:rPr>
              <w:t>架构的系统，要求使用spring cloud技术</w:t>
            </w:r>
            <w:proofErr w:type="gramStart"/>
            <w:r>
              <w:rPr>
                <w:rFonts w:ascii="宋体" w:hAnsi="宋体" w:cs="宋体" w:hint="eastAsia"/>
                <w:kern w:val="0"/>
                <w:sz w:val="22"/>
                <w:szCs w:val="22"/>
              </w:rPr>
              <w:t>栈</w:t>
            </w:r>
            <w:proofErr w:type="gramEnd"/>
            <w:r>
              <w:rPr>
                <w:rFonts w:ascii="宋体" w:hAnsi="宋体" w:cs="宋体" w:hint="eastAsia"/>
                <w:kern w:val="0"/>
                <w:sz w:val="22"/>
                <w:szCs w:val="22"/>
              </w:rPr>
              <w:t>体系，禁止使用</w:t>
            </w:r>
            <w:proofErr w:type="spellStart"/>
            <w:r>
              <w:rPr>
                <w:rFonts w:ascii="宋体" w:hAnsi="宋体" w:cs="宋体" w:hint="eastAsia"/>
                <w:kern w:val="0"/>
                <w:sz w:val="22"/>
                <w:szCs w:val="22"/>
              </w:rPr>
              <w:t>dubbo</w:t>
            </w:r>
            <w:proofErr w:type="spellEnd"/>
            <w:r>
              <w:rPr>
                <w:rFonts w:ascii="宋体" w:hAnsi="宋体" w:cs="宋体" w:hint="eastAsia"/>
                <w:kern w:val="0"/>
                <w:sz w:val="22"/>
                <w:szCs w:val="22"/>
              </w:rPr>
              <w:t>体系</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具体参照分布式</w:t>
            </w:r>
            <w:proofErr w:type="gramStart"/>
            <w:r>
              <w:rPr>
                <w:rFonts w:ascii="宋体" w:hAnsi="宋体" w:cs="宋体" w:hint="eastAsia"/>
                <w:kern w:val="0"/>
                <w:sz w:val="22"/>
                <w:szCs w:val="22"/>
              </w:rPr>
              <w:t>微服务技术栈</w:t>
            </w:r>
            <w:proofErr w:type="gramEnd"/>
            <w:r>
              <w:rPr>
                <w:rFonts w:ascii="宋体" w:hAnsi="宋体" w:cs="宋体" w:hint="eastAsia"/>
                <w:kern w:val="0"/>
                <w:sz w:val="22"/>
                <w:szCs w:val="22"/>
              </w:rPr>
              <w:t>清单</w:t>
            </w:r>
            <w:r>
              <w:rPr>
                <w:rFonts w:ascii="宋体" w:hAnsi="宋体" w:cs="宋体" w:hint="eastAsia"/>
                <w:kern w:val="0"/>
                <w:sz w:val="22"/>
                <w:szCs w:val="22"/>
              </w:rPr>
              <w:br/>
              <w:t>单体架构的系统无此要求</w:t>
            </w:r>
          </w:p>
        </w:tc>
      </w:tr>
      <w:tr w:rsidR="00BC4A49">
        <w:trPr>
          <w:trHeight w:val="270"/>
        </w:trPr>
        <w:tc>
          <w:tcPr>
            <w:tcW w:w="1853" w:type="dxa"/>
            <w:tcBorders>
              <w:top w:val="nil"/>
              <w:left w:val="single" w:sz="4" w:space="0" w:color="auto"/>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移动应用开发集成行内MPAAS平台</w:t>
            </w:r>
          </w:p>
        </w:tc>
        <w:tc>
          <w:tcPr>
            <w:tcW w:w="2273" w:type="dxa"/>
            <w:tcBorders>
              <w:top w:val="nil"/>
              <w:left w:val="nil"/>
              <w:bottom w:val="single" w:sz="4" w:space="0" w:color="auto"/>
              <w:right w:val="single" w:sz="4" w:space="0" w:color="auto"/>
            </w:tcBorders>
            <w:shd w:val="clear" w:color="auto" w:fill="auto"/>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涉及移动应用功能开发需集成行内MPAAS平台</w:t>
            </w:r>
          </w:p>
        </w:tc>
        <w:tc>
          <w:tcPr>
            <w:tcW w:w="714"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center"/>
              <w:rPr>
                <w:rFonts w:ascii="宋体" w:hAnsi="宋体" w:cs="宋体"/>
                <w:kern w:val="0"/>
                <w:sz w:val="22"/>
                <w:szCs w:val="22"/>
              </w:rPr>
            </w:pPr>
            <w:r>
              <w:rPr>
                <w:rFonts w:ascii="宋体" w:hAnsi="宋体" w:cs="宋体" w:hint="eastAsia"/>
                <w:kern w:val="0"/>
                <w:sz w:val="22"/>
                <w:szCs w:val="22"/>
              </w:rPr>
              <w:t>准入</w:t>
            </w:r>
          </w:p>
        </w:tc>
        <w:tc>
          <w:tcPr>
            <w:tcW w:w="3471" w:type="dxa"/>
            <w:tcBorders>
              <w:top w:val="nil"/>
              <w:left w:val="nil"/>
              <w:bottom w:val="single" w:sz="4" w:space="0" w:color="auto"/>
              <w:right w:val="single" w:sz="4" w:space="0" w:color="auto"/>
            </w:tcBorders>
            <w:shd w:val="clear" w:color="auto" w:fill="auto"/>
            <w:noWrap/>
            <w:vAlign w:val="center"/>
          </w:tcPr>
          <w:p w:rsidR="00BC4A49" w:rsidRDefault="00AC4EB7">
            <w:pPr>
              <w:widowControl/>
              <w:jc w:val="left"/>
              <w:rPr>
                <w:rFonts w:ascii="宋体" w:hAnsi="宋体" w:cs="宋体"/>
                <w:kern w:val="0"/>
                <w:sz w:val="22"/>
                <w:szCs w:val="22"/>
              </w:rPr>
            </w:pPr>
            <w:r>
              <w:rPr>
                <w:rFonts w:ascii="宋体" w:hAnsi="宋体" w:cs="宋体" w:hint="eastAsia"/>
                <w:kern w:val="0"/>
                <w:sz w:val="22"/>
                <w:szCs w:val="22"/>
              </w:rPr>
              <w:t>移动应用功能包含APP、微信、小程序、H5等</w:t>
            </w:r>
          </w:p>
        </w:tc>
      </w:tr>
    </w:tbl>
    <w:p w:rsidR="00BC4A49" w:rsidRDefault="00AC4EB7">
      <w:pPr>
        <w:widowControl/>
        <w:spacing w:line="276" w:lineRule="auto"/>
        <w:rPr>
          <w:rFonts w:asciiTheme="minorEastAsia" w:eastAsiaTheme="minorEastAsia" w:hAnsiTheme="minorEastAsia"/>
          <w:snapToGrid w:val="0"/>
          <w:sz w:val="28"/>
          <w:szCs w:val="28"/>
        </w:rPr>
      </w:pPr>
      <w:r>
        <w:rPr>
          <w:rFonts w:asciiTheme="minorEastAsia" w:eastAsiaTheme="minorEastAsia" w:hAnsiTheme="minorEastAsia"/>
          <w:snapToGrid w:val="0"/>
          <w:sz w:val="28"/>
          <w:szCs w:val="28"/>
        </w:rPr>
        <w:t>四</w:t>
      </w:r>
      <w:r>
        <w:rPr>
          <w:rFonts w:asciiTheme="minorEastAsia" w:eastAsiaTheme="minorEastAsia" w:hAnsiTheme="minorEastAsia" w:hint="eastAsia"/>
          <w:snapToGrid w:val="0"/>
          <w:sz w:val="28"/>
          <w:szCs w:val="28"/>
        </w:rPr>
        <w:t>、</w:t>
      </w:r>
      <w:r>
        <w:rPr>
          <w:rFonts w:asciiTheme="minorEastAsia" w:eastAsiaTheme="minorEastAsia" w:hAnsiTheme="minorEastAsia"/>
          <w:snapToGrid w:val="0"/>
          <w:sz w:val="28"/>
          <w:szCs w:val="28"/>
        </w:rPr>
        <w:t>评分标准</w:t>
      </w:r>
    </w:p>
    <w:p w:rsidR="00BC4A49" w:rsidRDefault="00DE5FF8" w:rsidP="00DE5FF8">
      <w:pPr>
        <w:widowControl/>
        <w:spacing w:line="540" w:lineRule="exact"/>
        <w:ind w:firstLineChars="150" w:firstLine="420"/>
        <w:rPr>
          <w:rFonts w:ascii="仿宋" w:eastAsia="仿宋" w:hAnsi="仿宋" w:cs="宋体"/>
          <w:kern w:val="0"/>
          <w:sz w:val="28"/>
          <w:szCs w:val="28"/>
        </w:rPr>
      </w:pPr>
      <w:r w:rsidRPr="00DE5FF8">
        <w:rPr>
          <w:rFonts w:ascii="仿宋" w:eastAsia="仿宋" w:hAnsi="仿宋" w:cs="宋体" w:hint="eastAsia"/>
          <w:kern w:val="0"/>
          <w:sz w:val="28"/>
          <w:szCs w:val="28"/>
        </w:rPr>
        <w:t>本次招标采用综合评分法20-20-60，其中POC部分共计60分，具体评分标准如下：</w:t>
      </w:r>
    </w:p>
    <w:tbl>
      <w:tblPr>
        <w:tblW w:w="8931" w:type="dxa"/>
        <w:tblInd w:w="-10" w:type="dxa"/>
        <w:tblLayout w:type="fixed"/>
        <w:tblLook w:val="04A0" w:firstRow="1" w:lastRow="0" w:firstColumn="1" w:lastColumn="0" w:noHBand="0" w:noVBand="1"/>
      </w:tblPr>
      <w:tblGrid>
        <w:gridCol w:w="722"/>
        <w:gridCol w:w="838"/>
        <w:gridCol w:w="3827"/>
        <w:gridCol w:w="567"/>
        <w:gridCol w:w="567"/>
        <w:gridCol w:w="2410"/>
      </w:tblGrid>
      <w:tr w:rsidR="00BC4A49">
        <w:trPr>
          <w:trHeight w:val="380"/>
        </w:trPr>
        <w:tc>
          <w:tcPr>
            <w:tcW w:w="156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tcPr>
          <w:p w:rsidR="00BC4A49" w:rsidRDefault="00AC4EB7">
            <w:pPr>
              <w:widowControl/>
              <w:jc w:val="center"/>
              <w:rPr>
                <w:rFonts w:ascii="仿宋" w:eastAsia="仿宋" w:hAnsi="仿宋" w:cs="宋体"/>
                <w:b/>
                <w:bCs/>
                <w:kern w:val="0"/>
                <w:szCs w:val="21"/>
              </w:rPr>
            </w:pPr>
            <w:r>
              <w:rPr>
                <w:rFonts w:ascii="仿宋" w:eastAsia="仿宋" w:hAnsi="仿宋" w:cs="宋体" w:hint="eastAsia"/>
                <w:b/>
                <w:bCs/>
                <w:kern w:val="0"/>
                <w:szCs w:val="21"/>
              </w:rPr>
              <w:t>评分项</w:t>
            </w:r>
          </w:p>
        </w:tc>
        <w:tc>
          <w:tcPr>
            <w:tcW w:w="3827" w:type="dxa"/>
            <w:tcBorders>
              <w:top w:val="single" w:sz="8" w:space="0" w:color="auto"/>
              <w:left w:val="nil"/>
              <w:bottom w:val="single" w:sz="8" w:space="0" w:color="auto"/>
              <w:right w:val="single" w:sz="8" w:space="0" w:color="000000"/>
            </w:tcBorders>
            <w:shd w:val="clear" w:color="000000" w:fill="BFBFBF"/>
            <w:vAlign w:val="center"/>
          </w:tcPr>
          <w:p w:rsidR="00BC4A49" w:rsidRDefault="00AC4EB7">
            <w:pPr>
              <w:widowControl/>
              <w:jc w:val="center"/>
              <w:rPr>
                <w:rFonts w:ascii="仿宋" w:eastAsia="仿宋" w:hAnsi="仿宋" w:cs="宋体"/>
                <w:b/>
                <w:bCs/>
                <w:kern w:val="0"/>
                <w:szCs w:val="21"/>
              </w:rPr>
            </w:pPr>
            <w:r>
              <w:rPr>
                <w:rFonts w:ascii="仿宋" w:eastAsia="仿宋" w:hAnsi="仿宋" w:cs="宋体" w:hint="eastAsia"/>
                <w:b/>
                <w:bCs/>
                <w:kern w:val="0"/>
                <w:szCs w:val="21"/>
              </w:rPr>
              <w:t>评分标准</w:t>
            </w:r>
          </w:p>
        </w:tc>
        <w:tc>
          <w:tcPr>
            <w:tcW w:w="567" w:type="dxa"/>
            <w:tcBorders>
              <w:top w:val="single" w:sz="8" w:space="0" w:color="auto"/>
              <w:left w:val="nil"/>
              <w:bottom w:val="single" w:sz="8" w:space="0" w:color="auto"/>
              <w:right w:val="single" w:sz="8" w:space="0" w:color="auto"/>
            </w:tcBorders>
            <w:shd w:val="clear" w:color="000000" w:fill="BFBFBF"/>
            <w:noWrap/>
            <w:vAlign w:val="center"/>
          </w:tcPr>
          <w:p w:rsidR="00BC4A49" w:rsidRDefault="00AC4EB7">
            <w:pPr>
              <w:widowControl/>
              <w:jc w:val="center"/>
              <w:rPr>
                <w:rFonts w:ascii="仿宋" w:eastAsia="仿宋" w:hAnsi="仿宋" w:cs="宋体"/>
                <w:b/>
                <w:bCs/>
                <w:kern w:val="0"/>
                <w:szCs w:val="21"/>
              </w:rPr>
            </w:pPr>
            <w:r>
              <w:rPr>
                <w:rFonts w:ascii="仿宋" w:eastAsia="仿宋" w:hAnsi="仿宋" w:cs="宋体" w:hint="eastAsia"/>
                <w:b/>
                <w:bCs/>
                <w:kern w:val="0"/>
                <w:szCs w:val="21"/>
              </w:rPr>
              <w:t>分值</w:t>
            </w:r>
          </w:p>
        </w:tc>
        <w:tc>
          <w:tcPr>
            <w:tcW w:w="567" w:type="dxa"/>
            <w:tcBorders>
              <w:top w:val="single" w:sz="8" w:space="0" w:color="auto"/>
              <w:left w:val="nil"/>
              <w:bottom w:val="single" w:sz="8" w:space="0" w:color="auto"/>
              <w:right w:val="single" w:sz="8" w:space="0" w:color="auto"/>
            </w:tcBorders>
            <w:shd w:val="clear" w:color="000000" w:fill="BFBFBF"/>
            <w:noWrap/>
            <w:vAlign w:val="center"/>
          </w:tcPr>
          <w:p w:rsidR="00BC4A49" w:rsidRDefault="00AC4EB7">
            <w:pPr>
              <w:widowControl/>
              <w:jc w:val="center"/>
              <w:rPr>
                <w:rFonts w:ascii="仿宋" w:eastAsia="仿宋" w:hAnsi="仿宋" w:cs="宋体"/>
                <w:b/>
                <w:bCs/>
                <w:kern w:val="0"/>
                <w:szCs w:val="21"/>
              </w:rPr>
            </w:pPr>
            <w:r>
              <w:rPr>
                <w:rFonts w:ascii="仿宋" w:eastAsia="仿宋" w:hAnsi="仿宋" w:cs="宋体" w:hint="eastAsia"/>
                <w:b/>
                <w:bCs/>
                <w:kern w:val="0"/>
                <w:szCs w:val="21"/>
              </w:rPr>
              <w:t>总分</w:t>
            </w:r>
          </w:p>
        </w:tc>
        <w:tc>
          <w:tcPr>
            <w:tcW w:w="2410" w:type="dxa"/>
            <w:tcBorders>
              <w:top w:val="single" w:sz="8" w:space="0" w:color="auto"/>
              <w:left w:val="nil"/>
              <w:bottom w:val="single" w:sz="8" w:space="0" w:color="auto"/>
              <w:right w:val="single" w:sz="8" w:space="0" w:color="auto"/>
            </w:tcBorders>
            <w:shd w:val="clear" w:color="000000" w:fill="BFBFBF"/>
            <w:noWrap/>
            <w:vAlign w:val="center"/>
          </w:tcPr>
          <w:p w:rsidR="00BC4A49" w:rsidRDefault="00AC4EB7">
            <w:pPr>
              <w:widowControl/>
              <w:jc w:val="center"/>
              <w:rPr>
                <w:rFonts w:ascii="仿宋" w:eastAsia="仿宋" w:hAnsi="仿宋" w:cs="宋体"/>
                <w:b/>
                <w:bCs/>
                <w:kern w:val="0"/>
                <w:szCs w:val="21"/>
              </w:rPr>
            </w:pPr>
            <w:r>
              <w:rPr>
                <w:rFonts w:ascii="仿宋" w:eastAsia="仿宋" w:hAnsi="仿宋" w:cs="宋体" w:hint="eastAsia"/>
                <w:b/>
                <w:bCs/>
                <w:kern w:val="0"/>
                <w:szCs w:val="21"/>
              </w:rPr>
              <w:t>备注</w:t>
            </w:r>
          </w:p>
        </w:tc>
      </w:tr>
      <w:tr w:rsidR="00BC4A49">
        <w:trPr>
          <w:trHeight w:val="285"/>
        </w:trPr>
        <w:tc>
          <w:tcPr>
            <w:tcW w:w="722"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系统应用</w:t>
            </w: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开发规范</w:t>
            </w: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开发/运维手册</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2.5</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不提供得0分</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开发代码规范</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软件管理规范</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标准错误代码</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平台技术白皮书</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源代码</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无条件提供平台+项目源代码</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Calibri" w:hAnsi="Calibri" w:cs="Calibri"/>
                <w:kern w:val="0"/>
                <w:szCs w:val="21"/>
              </w:rPr>
            </w:pPr>
            <w:r>
              <w:rPr>
                <w:rFonts w:ascii="Calibri" w:hAnsi="Calibri" w:cs="Calibri"/>
                <w:kern w:val="0"/>
                <w:szCs w:val="21"/>
              </w:rPr>
              <w:t xml:space="preserve">　</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不提供</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Calibri" w:hAnsi="Calibri" w:cs="Calibri"/>
                <w:kern w:val="0"/>
                <w:szCs w:val="21"/>
              </w:rPr>
            </w:pPr>
          </w:p>
        </w:tc>
      </w:tr>
      <w:tr w:rsidR="00BC4A49">
        <w:trPr>
          <w:trHeight w:val="52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监控平台</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监控节点CPU、内存、IO、交易成功率，交易响应速度等关键指标以及链路追踪、各中间件平台监控、服务器节点虚拟机信息监控。</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不支持得0分</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混合交易负载测试</w:t>
            </w: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最大用户并发数&gt;500,TPS&gt;1000</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提供性能测试报告(提供有证明的)</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不达标</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可靠</w:t>
            </w:r>
            <w:r>
              <w:rPr>
                <w:rFonts w:ascii="仿宋" w:eastAsia="仿宋" w:hAnsi="仿宋" w:cs="宋体" w:hint="eastAsia"/>
                <w:kern w:val="0"/>
                <w:szCs w:val="21"/>
              </w:rPr>
              <w:lastRenderedPageBreak/>
              <w:t>性测试</w:t>
            </w: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lastRenderedPageBreak/>
              <w:t>应用服务器或者中间件局部</w:t>
            </w:r>
            <w:proofErr w:type="gramStart"/>
            <w:r>
              <w:rPr>
                <w:rFonts w:ascii="仿宋" w:eastAsia="仿宋" w:hAnsi="仿宋" w:cs="宋体" w:hint="eastAsia"/>
                <w:kern w:val="0"/>
                <w:szCs w:val="21"/>
              </w:rPr>
              <w:t>宕</w:t>
            </w:r>
            <w:proofErr w:type="gramEnd"/>
            <w:r>
              <w:rPr>
                <w:rFonts w:ascii="仿宋" w:eastAsia="仿宋" w:hAnsi="仿宋" w:cs="宋体" w:hint="eastAsia"/>
                <w:kern w:val="0"/>
                <w:szCs w:val="21"/>
              </w:rPr>
              <w:t>机不影响</w:t>
            </w:r>
            <w:r>
              <w:rPr>
                <w:rFonts w:ascii="仿宋" w:eastAsia="仿宋" w:hAnsi="仿宋" w:cs="宋体" w:hint="eastAsia"/>
                <w:kern w:val="0"/>
                <w:szCs w:val="21"/>
              </w:rPr>
              <w:lastRenderedPageBreak/>
              <w:t>实时业务</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lastRenderedPageBreak/>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不达标</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信息安全</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系统对用户密码等敏感信息是否进行加密传输、加密存储</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不支持得0分</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涉及行外系统交互，报文、文件等加密传输</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不允许使用弱密码，支持配置强密码规则</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系统是否有防SQL注入等数据安全防御</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二次开发</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是否具备集成开发工具</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结合实际案例现场演示</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是否提供一站式、流程式的开发模式，开发步骤简洁便利，并在开发过程提供清晰的各项提示</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是否支持配置或图形化拖拽的多种开发方式</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是否具备丰富便利的开发组件（包括数据库操作组件、工作流组件、通信组件、文件处理组件、图形化/高度封装API等开发组件或插件、电子渠道常用功能组件或封装类）</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是否配备完善的报表开发工具（可动态调整模版而无需硬代码编写）</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是否具备完整详细的开发组件技术文档</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数据库</w:t>
            </w: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proofErr w:type="gramStart"/>
            <w:r>
              <w:rPr>
                <w:rFonts w:ascii="仿宋" w:eastAsia="仿宋" w:hAnsi="仿宋" w:cs="宋体" w:hint="eastAsia"/>
                <w:kern w:val="0"/>
                <w:szCs w:val="21"/>
              </w:rPr>
              <w:t>达梦数据库</w:t>
            </w:r>
            <w:proofErr w:type="gramEnd"/>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proofErr w:type="gramStart"/>
            <w:r>
              <w:rPr>
                <w:rFonts w:ascii="仿宋" w:eastAsia="仿宋" w:hAnsi="仿宋" w:cs="宋体" w:hint="eastAsia"/>
                <w:kern w:val="0"/>
                <w:szCs w:val="21"/>
              </w:rPr>
              <w:t>信创要求</w:t>
            </w:r>
            <w:proofErr w:type="gramEnd"/>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其它</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日志规范</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建立完备的系统日志、应用日志、错误日志</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2410"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不支持得0分</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对系统的所有访问和操作都留有日志审计记录</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日志分级、分日期、日志大小增长序号等要求</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1439"/>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清理策略</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具备日志清理策略，数据库大表的备份清理策略</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对数据库数据、日志及其他系统日常运行过程中产生的临时或正常的数据和文件具备自动备份和清理机制，并可自定义策略。</w:t>
            </w:r>
          </w:p>
        </w:tc>
      </w:tr>
      <w:tr w:rsidR="00BC4A49">
        <w:trPr>
          <w:trHeight w:val="52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可配置化程度</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业务技术参数、业务功能等可配置化程度</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nil"/>
              <w:right w:val="single" w:sz="8" w:space="0" w:color="auto"/>
            </w:tcBorders>
            <w:shd w:val="clear" w:color="auto" w:fill="auto"/>
            <w:vAlign w:val="center"/>
          </w:tcPr>
          <w:p w:rsidR="00BC4A49" w:rsidRDefault="00AC4EB7">
            <w:pPr>
              <w:widowControl/>
              <w:jc w:val="left"/>
              <w:rPr>
                <w:rFonts w:ascii="Calibri" w:hAnsi="Calibri" w:cs="Calibri"/>
                <w:kern w:val="0"/>
                <w:szCs w:val="21"/>
              </w:rPr>
            </w:pPr>
            <w:r>
              <w:rPr>
                <w:rFonts w:ascii="Calibri" w:hAnsi="Calibri" w:cs="Calibri"/>
                <w:kern w:val="0"/>
                <w:szCs w:val="21"/>
              </w:rPr>
              <w:t xml:space="preserve">　</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网络带宽资源</w:t>
            </w:r>
            <w:r>
              <w:rPr>
                <w:rFonts w:ascii="仿宋" w:eastAsia="仿宋" w:hAnsi="仿宋" w:cs="宋体" w:hint="eastAsia"/>
                <w:kern w:val="0"/>
                <w:szCs w:val="21"/>
              </w:rPr>
              <w:lastRenderedPageBreak/>
              <w:t>占用评估</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lastRenderedPageBreak/>
              <w:t>最高带宽占用小于0.5M</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评估系统各交易场景是否存在高带宽占用的情况，如果存在，则需进</w:t>
            </w:r>
            <w:r>
              <w:rPr>
                <w:rFonts w:ascii="仿宋" w:eastAsia="仿宋" w:hAnsi="仿宋" w:cs="宋体" w:hint="eastAsia"/>
                <w:kern w:val="0"/>
                <w:szCs w:val="21"/>
              </w:rPr>
              <w:lastRenderedPageBreak/>
              <w:t>一步评估是否有配置化的限</w:t>
            </w:r>
            <w:proofErr w:type="gramStart"/>
            <w:r>
              <w:rPr>
                <w:rFonts w:ascii="仿宋" w:eastAsia="仿宋" w:hAnsi="仿宋" w:cs="宋体" w:hint="eastAsia"/>
                <w:kern w:val="0"/>
                <w:szCs w:val="21"/>
              </w:rPr>
              <w:t>流措施</w:t>
            </w:r>
            <w:proofErr w:type="gramEnd"/>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最高带宽占用大于0.5M，但是支持</w:t>
            </w:r>
            <w:proofErr w:type="gramStart"/>
            <w:r>
              <w:rPr>
                <w:rFonts w:ascii="仿宋" w:eastAsia="仿宋" w:hAnsi="仿宋" w:cs="宋体" w:hint="eastAsia"/>
                <w:kern w:val="0"/>
                <w:szCs w:val="21"/>
              </w:rPr>
              <w:t>配置化限流</w:t>
            </w:r>
            <w:proofErr w:type="gramEnd"/>
            <w:r>
              <w:rPr>
                <w:rFonts w:ascii="仿宋" w:eastAsia="仿宋" w:hAnsi="仿宋" w:cs="宋体" w:hint="eastAsia"/>
                <w:kern w:val="0"/>
                <w:szCs w:val="21"/>
              </w:rPr>
              <w:t>传输</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single" w:sz="8" w:space="0" w:color="auto"/>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最高带宽占用大于0.5M，无限</w:t>
            </w:r>
            <w:proofErr w:type="gramStart"/>
            <w:r>
              <w:rPr>
                <w:rFonts w:ascii="仿宋" w:eastAsia="仿宋" w:hAnsi="仿宋" w:cs="宋体" w:hint="eastAsia"/>
                <w:kern w:val="0"/>
                <w:szCs w:val="21"/>
              </w:rPr>
              <w:t>流措施</w:t>
            </w:r>
            <w:proofErr w:type="gramEnd"/>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single" w:sz="8" w:space="0" w:color="auto"/>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记录节点调用耗时</w:t>
            </w: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支持</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监控并日志中打印节点调用之间的耗时</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不支持</w:t>
            </w:r>
          </w:p>
        </w:tc>
        <w:tc>
          <w:tcPr>
            <w:tcW w:w="567" w:type="dxa"/>
            <w:tcBorders>
              <w:top w:val="nil"/>
              <w:left w:val="nil"/>
              <w:bottom w:val="single" w:sz="8" w:space="0" w:color="auto"/>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000000" w:fill="FFFFFF"/>
            <w:vAlign w:val="center"/>
          </w:tcPr>
          <w:p w:rsidR="00BC4A49" w:rsidRDefault="00AC4EB7">
            <w:pPr>
              <w:widowControl/>
              <w:jc w:val="center"/>
              <w:rPr>
                <w:rFonts w:ascii="仿宋" w:eastAsia="仿宋" w:hAnsi="仿宋" w:cs="宋体"/>
                <w:kern w:val="0"/>
                <w:szCs w:val="21"/>
              </w:rPr>
            </w:pPr>
            <w:proofErr w:type="gramStart"/>
            <w:r>
              <w:rPr>
                <w:rFonts w:ascii="仿宋" w:eastAsia="仿宋" w:hAnsi="仿宋" w:cs="宋体" w:hint="eastAsia"/>
                <w:kern w:val="0"/>
                <w:szCs w:val="21"/>
              </w:rPr>
              <w:t>跑批时</w:t>
            </w:r>
            <w:proofErr w:type="gramEnd"/>
            <w:r>
              <w:rPr>
                <w:rFonts w:ascii="仿宋" w:eastAsia="仿宋" w:hAnsi="仿宋" w:cs="宋体" w:hint="eastAsia"/>
                <w:kern w:val="0"/>
                <w:szCs w:val="21"/>
              </w:rPr>
              <w:t>长</w:t>
            </w:r>
          </w:p>
        </w:tc>
        <w:tc>
          <w:tcPr>
            <w:tcW w:w="3827" w:type="dxa"/>
            <w:tcBorders>
              <w:top w:val="single" w:sz="8" w:space="0" w:color="auto"/>
              <w:left w:val="nil"/>
              <w:bottom w:val="single" w:sz="8" w:space="0" w:color="auto"/>
              <w:right w:val="single" w:sz="8" w:space="0" w:color="000000"/>
            </w:tcBorders>
            <w:shd w:val="clear" w:color="000000" w:fill="FFFFFF"/>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40分钟以内</w:t>
            </w:r>
          </w:p>
        </w:tc>
        <w:tc>
          <w:tcPr>
            <w:tcW w:w="567" w:type="dxa"/>
            <w:tcBorders>
              <w:top w:val="nil"/>
              <w:left w:val="nil"/>
              <w:bottom w:val="single" w:sz="8" w:space="0" w:color="auto"/>
              <w:right w:val="single" w:sz="8" w:space="0" w:color="auto"/>
            </w:tcBorders>
            <w:shd w:val="clear" w:color="000000" w:fill="FFFFFF"/>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从</w:t>
            </w:r>
            <w:proofErr w:type="gramStart"/>
            <w:r>
              <w:rPr>
                <w:rFonts w:ascii="仿宋" w:eastAsia="仿宋" w:hAnsi="仿宋" w:cs="宋体" w:hint="eastAsia"/>
                <w:kern w:val="0"/>
                <w:szCs w:val="21"/>
              </w:rPr>
              <w:t>跑批任务</w:t>
            </w:r>
            <w:proofErr w:type="gramEnd"/>
            <w:r>
              <w:rPr>
                <w:rFonts w:ascii="仿宋" w:eastAsia="仿宋" w:hAnsi="仿宋" w:cs="宋体" w:hint="eastAsia"/>
                <w:kern w:val="0"/>
                <w:szCs w:val="21"/>
              </w:rPr>
              <w:t>开始到</w:t>
            </w:r>
            <w:proofErr w:type="gramStart"/>
            <w:r>
              <w:rPr>
                <w:rFonts w:ascii="仿宋" w:eastAsia="仿宋" w:hAnsi="仿宋" w:cs="宋体" w:hint="eastAsia"/>
                <w:kern w:val="0"/>
                <w:szCs w:val="21"/>
              </w:rPr>
              <w:t>跑批任务</w:t>
            </w:r>
            <w:proofErr w:type="gramEnd"/>
            <w:r>
              <w:rPr>
                <w:rFonts w:ascii="仿宋" w:eastAsia="仿宋" w:hAnsi="仿宋" w:cs="宋体" w:hint="eastAsia"/>
                <w:kern w:val="0"/>
                <w:szCs w:val="21"/>
              </w:rPr>
              <w:t>结束的总耗时，不包括等待上游数据的时间（可提供其他行的相关证明）</w:t>
            </w: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000000" w:fill="FFFFFF"/>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40-60分钟</w:t>
            </w:r>
          </w:p>
        </w:tc>
        <w:tc>
          <w:tcPr>
            <w:tcW w:w="567" w:type="dxa"/>
            <w:tcBorders>
              <w:top w:val="nil"/>
              <w:left w:val="nil"/>
              <w:bottom w:val="single" w:sz="8" w:space="0" w:color="auto"/>
              <w:right w:val="single" w:sz="8" w:space="0" w:color="auto"/>
            </w:tcBorders>
            <w:shd w:val="clear" w:color="000000" w:fill="FFFFFF"/>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28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000000" w:fill="FFFFFF"/>
            <w:noWrap/>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60分钟以上</w:t>
            </w:r>
          </w:p>
        </w:tc>
        <w:tc>
          <w:tcPr>
            <w:tcW w:w="567" w:type="dxa"/>
            <w:tcBorders>
              <w:top w:val="nil"/>
              <w:left w:val="nil"/>
              <w:bottom w:val="single" w:sz="8" w:space="0" w:color="auto"/>
              <w:right w:val="single" w:sz="8" w:space="0" w:color="auto"/>
            </w:tcBorders>
            <w:shd w:val="clear" w:color="000000" w:fill="FFFFFF"/>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w:t>
            </w:r>
          </w:p>
        </w:tc>
        <w:tc>
          <w:tcPr>
            <w:tcW w:w="567"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2410"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r>
      <w:tr w:rsidR="00BC4A49">
        <w:trPr>
          <w:trHeight w:val="780"/>
        </w:trPr>
        <w:tc>
          <w:tcPr>
            <w:tcW w:w="722" w:type="dxa"/>
            <w:vMerge w:val="restart"/>
            <w:tcBorders>
              <w:top w:val="nil"/>
              <w:left w:val="single" w:sz="8" w:space="0" w:color="auto"/>
              <w:bottom w:val="single" w:sz="8" w:space="0" w:color="000000"/>
              <w:right w:val="single" w:sz="8" w:space="0" w:color="auto"/>
            </w:tcBorders>
            <w:shd w:val="clear" w:color="auto" w:fill="auto"/>
            <w:noWrap/>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数据集市</w:t>
            </w: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数据标准化</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1、表字段类型、字段名称经过我行数据中台进行对标、翻译</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按实际完成比例得分，比如完成30%的对标，得分为1*30%</w:t>
            </w:r>
          </w:p>
        </w:tc>
      </w:tr>
      <w:tr w:rsidR="00BC4A49">
        <w:trPr>
          <w:trHeight w:val="78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2、码值字段在我行数据中台进行转码对标</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按实际完成比例得分，比如完成30%的对标，得分为1*30%</w:t>
            </w:r>
          </w:p>
        </w:tc>
      </w:tr>
      <w:tr w:rsidR="00BC4A49">
        <w:trPr>
          <w:trHeight w:val="323"/>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3、无效、无用字段剔除情况</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按实际完成比例得分，比如完成30%的对标，得分为1*30%</w:t>
            </w:r>
          </w:p>
        </w:tc>
      </w:tr>
      <w:tr w:rsidR="00BC4A49">
        <w:trPr>
          <w:trHeight w:val="78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明细层模型设计</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1、模型设计方法论经过我行模型组审核通过</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结合实际现场讲解与展示，现场按效果打分</w:t>
            </w:r>
          </w:p>
        </w:tc>
      </w:tr>
      <w:tr w:rsidR="00BC4A49">
        <w:trPr>
          <w:trHeight w:val="78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2、模型主题归类满足</w:t>
            </w:r>
            <w:proofErr w:type="gramStart"/>
            <w:r>
              <w:rPr>
                <w:rFonts w:ascii="仿宋" w:eastAsia="仿宋" w:hAnsi="仿宋" w:cs="宋体" w:hint="eastAsia"/>
                <w:kern w:val="0"/>
                <w:szCs w:val="21"/>
              </w:rPr>
              <w:t>数据湖</w:t>
            </w:r>
            <w:proofErr w:type="gramEnd"/>
            <w:r>
              <w:rPr>
                <w:rFonts w:ascii="仿宋" w:eastAsia="仿宋" w:hAnsi="仿宋" w:cs="宋体" w:hint="eastAsia"/>
                <w:kern w:val="0"/>
                <w:szCs w:val="21"/>
              </w:rPr>
              <w:t>的分类原则，并给出合理的设计理由。</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结合实际现场讲解与展示，匹配则给分，否则0分</w:t>
            </w:r>
          </w:p>
        </w:tc>
      </w:tr>
      <w:tr w:rsidR="00BC4A49">
        <w:trPr>
          <w:trHeight w:val="78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3、模型映射逻辑规则满足我行</w:t>
            </w:r>
            <w:proofErr w:type="gramStart"/>
            <w:r>
              <w:rPr>
                <w:rFonts w:ascii="仿宋" w:eastAsia="仿宋" w:hAnsi="仿宋" w:cs="宋体" w:hint="eastAsia"/>
                <w:kern w:val="0"/>
                <w:szCs w:val="21"/>
              </w:rPr>
              <w:t>数据湖</w:t>
            </w:r>
            <w:proofErr w:type="gramEnd"/>
            <w:r>
              <w:rPr>
                <w:rFonts w:ascii="仿宋" w:eastAsia="仿宋" w:hAnsi="仿宋" w:cs="宋体" w:hint="eastAsia"/>
                <w:kern w:val="0"/>
                <w:szCs w:val="21"/>
              </w:rPr>
              <w:t>的规定要求。</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按实际完成比例得分，比如完成30%的对标，得分为1*30%</w:t>
            </w:r>
          </w:p>
        </w:tc>
      </w:tr>
      <w:tr w:rsidR="00BC4A49">
        <w:trPr>
          <w:trHeight w:val="281"/>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模型校验</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1、数据异常值检验结果报告；</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有准确的校验结果则0.5分，否则0分</w:t>
            </w:r>
          </w:p>
        </w:tc>
      </w:tr>
      <w:tr w:rsidR="00BC4A49">
        <w:trPr>
          <w:trHeight w:val="46"/>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2、总分核验结果报告；</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有准确的校验结果则0.5分，否则0分</w:t>
            </w:r>
          </w:p>
        </w:tc>
      </w:tr>
      <w:tr w:rsidR="00BC4A49">
        <w:trPr>
          <w:trHeight w:val="413"/>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3、字段长度检验结果报告；</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有准确的校验结果则0.5分，否则0分</w:t>
            </w:r>
          </w:p>
        </w:tc>
      </w:tr>
      <w:tr w:rsidR="00BC4A49">
        <w:trPr>
          <w:trHeight w:val="493"/>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4、单一字段空值检验结果报告；</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有准确的校验结果则0.5分，否则0分</w:t>
            </w:r>
          </w:p>
        </w:tc>
      </w:tr>
      <w:tr w:rsidR="00BC4A49">
        <w:trPr>
          <w:trHeight w:val="27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5、</w:t>
            </w:r>
            <w:proofErr w:type="gramStart"/>
            <w:r>
              <w:rPr>
                <w:rFonts w:ascii="仿宋" w:eastAsia="仿宋" w:hAnsi="仿宋" w:cs="宋体" w:hint="eastAsia"/>
                <w:kern w:val="0"/>
                <w:szCs w:val="21"/>
              </w:rPr>
              <w:t>表级记录</w:t>
            </w:r>
            <w:proofErr w:type="gramEnd"/>
            <w:r>
              <w:rPr>
                <w:rFonts w:ascii="仿宋" w:eastAsia="仿宋" w:hAnsi="仿宋" w:cs="宋体" w:hint="eastAsia"/>
                <w:kern w:val="0"/>
                <w:szCs w:val="21"/>
              </w:rPr>
              <w:t>数检验结果报告；</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0.5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有准确的校验结果则0.5分，否则0分</w:t>
            </w:r>
          </w:p>
        </w:tc>
      </w:tr>
      <w:tr w:rsidR="00BC4A49">
        <w:trPr>
          <w:trHeight w:val="732"/>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指标设计与管理</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r w:rsidR="0003056B">
              <w:rPr>
                <w:rFonts w:ascii="仿宋" w:eastAsia="仿宋" w:hAnsi="仿宋" w:cs="宋体" w:hint="eastAsia"/>
                <w:kern w:val="0"/>
                <w:szCs w:val="21"/>
              </w:rPr>
              <w:t>、指标管理流程的方案设计是否合理、如何在数据中台进行开发</w:t>
            </w:r>
            <w:r>
              <w:rPr>
                <w:rFonts w:ascii="仿宋" w:eastAsia="仿宋" w:hAnsi="仿宋" w:cs="宋体" w:hint="eastAsia"/>
                <w:kern w:val="0"/>
                <w:szCs w:val="21"/>
              </w:rPr>
              <w:t>？</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能够详细讲解清楚指标的管理、开发、对接流程的并且满足我行要求的给2分，其余酌情给分。</w:t>
            </w:r>
          </w:p>
        </w:tc>
      </w:tr>
      <w:tr w:rsidR="00BC4A49">
        <w:trPr>
          <w:trHeight w:val="609"/>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2、指标的定义是否完善：包括指标中、英文标准命名，指标技术和业务属性，指标的拆分是否合理等等；</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指标定义、属性等信息完全满足我行要求的给1分，有一个不满足的给0分</w:t>
            </w:r>
          </w:p>
        </w:tc>
      </w:tr>
      <w:tr w:rsidR="00BC4A49">
        <w:trPr>
          <w:trHeight w:val="75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3、指标的计算逻辑是否满足我行模型设计规范，是否存在使用禁用SQL函数或语法的问题。</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指标的计算逻辑经过审核，完全通过后给1分，有1个不通过的扣0.1分，累计上线扣1分。</w:t>
            </w:r>
          </w:p>
        </w:tc>
      </w:tr>
      <w:tr w:rsidR="00BC4A49">
        <w:trPr>
          <w:trHeight w:val="205"/>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集市架构方案设计</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1、集市的建设方案与我行</w:t>
            </w:r>
            <w:proofErr w:type="gramStart"/>
            <w:r>
              <w:rPr>
                <w:rFonts w:ascii="仿宋" w:eastAsia="仿宋" w:hAnsi="仿宋" w:cs="宋体" w:hint="eastAsia"/>
                <w:kern w:val="0"/>
                <w:szCs w:val="21"/>
              </w:rPr>
              <w:t>数据湖规划</w:t>
            </w:r>
            <w:proofErr w:type="gramEnd"/>
            <w:r>
              <w:rPr>
                <w:rFonts w:ascii="仿宋" w:eastAsia="仿宋" w:hAnsi="仿宋" w:cs="宋体" w:hint="eastAsia"/>
                <w:kern w:val="0"/>
                <w:szCs w:val="21"/>
              </w:rPr>
              <w:t>方案的匹配程度；</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对于集市建设方案的讲解与我行</w:t>
            </w:r>
            <w:proofErr w:type="gramStart"/>
            <w:r>
              <w:rPr>
                <w:rFonts w:ascii="仿宋" w:eastAsia="仿宋" w:hAnsi="仿宋" w:cs="宋体" w:hint="eastAsia"/>
                <w:kern w:val="0"/>
                <w:szCs w:val="21"/>
              </w:rPr>
              <w:t>数据湖</w:t>
            </w:r>
            <w:proofErr w:type="gramEnd"/>
            <w:r>
              <w:rPr>
                <w:rFonts w:ascii="仿宋" w:eastAsia="仿宋" w:hAnsi="仿宋" w:cs="宋体" w:hint="eastAsia"/>
                <w:kern w:val="0"/>
                <w:szCs w:val="21"/>
              </w:rPr>
              <w:t>的匹配度酌情给分，最高2分；</w:t>
            </w:r>
          </w:p>
        </w:tc>
      </w:tr>
      <w:tr w:rsidR="00BC4A49">
        <w:trPr>
          <w:trHeight w:val="92"/>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2、由项目经理主导的</w:t>
            </w:r>
            <w:proofErr w:type="spellStart"/>
            <w:r>
              <w:rPr>
                <w:rFonts w:ascii="仿宋" w:eastAsia="仿宋" w:hAnsi="仿宋" w:cs="宋体" w:hint="eastAsia"/>
                <w:kern w:val="0"/>
                <w:szCs w:val="21"/>
              </w:rPr>
              <w:t>poc</w:t>
            </w:r>
            <w:proofErr w:type="spellEnd"/>
            <w:r>
              <w:rPr>
                <w:rFonts w:ascii="仿宋" w:eastAsia="仿宋" w:hAnsi="仿宋" w:cs="宋体" w:hint="eastAsia"/>
                <w:kern w:val="0"/>
                <w:szCs w:val="21"/>
              </w:rPr>
              <w:t>实施</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项目经理主导</w:t>
            </w:r>
            <w:proofErr w:type="spellStart"/>
            <w:r>
              <w:rPr>
                <w:rFonts w:ascii="仿宋" w:eastAsia="仿宋" w:hAnsi="仿宋" w:cs="宋体" w:hint="eastAsia"/>
                <w:kern w:val="0"/>
                <w:szCs w:val="21"/>
              </w:rPr>
              <w:t>poc</w:t>
            </w:r>
            <w:proofErr w:type="spellEnd"/>
            <w:r>
              <w:rPr>
                <w:rFonts w:ascii="仿宋" w:eastAsia="仿宋" w:hAnsi="仿宋" w:cs="宋体" w:hint="eastAsia"/>
                <w:kern w:val="0"/>
                <w:szCs w:val="21"/>
              </w:rPr>
              <w:t>的给2分，否则0分</w:t>
            </w:r>
          </w:p>
        </w:tc>
      </w:tr>
      <w:tr w:rsidR="00BC4A49">
        <w:trPr>
          <w:trHeight w:val="158"/>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集市存储设计</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集市层模型表的存储方式经过我行模型组审核通过</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结合实际现场讲解与展示，对集市表的存储方式建设方案进行打分。符合我行要求的给1分，否则0分</w:t>
            </w:r>
          </w:p>
        </w:tc>
      </w:tr>
      <w:tr w:rsidR="00BC4A49">
        <w:trPr>
          <w:trHeight w:val="129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集市对外提供服务</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从集市中生成文件接口，并可以对外提供服务</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导出固定格式的集市文件则给1分，否则0分</w:t>
            </w:r>
          </w:p>
        </w:tc>
      </w:tr>
      <w:tr w:rsidR="00BC4A49">
        <w:trPr>
          <w:trHeight w:val="6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仿宋" w:eastAsia="仿宋" w:hAnsi="仿宋" w:cs="宋体"/>
                <w:kern w:val="0"/>
                <w:szCs w:val="21"/>
              </w:rPr>
            </w:pPr>
          </w:p>
        </w:tc>
        <w:tc>
          <w:tcPr>
            <w:tcW w:w="838"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批量调度设计</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使用我行统一调度工具CONTROL-M进行批量处理，并且包含批量方案</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2410"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使用</w:t>
            </w:r>
            <w:proofErr w:type="spellStart"/>
            <w:r>
              <w:rPr>
                <w:rFonts w:ascii="仿宋" w:eastAsia="仿宋" w:hAnsi="仿宋" w:cs="宋体" w:hint="eastAsia"/>
                <w:kern w:val="0"/>
                <w:szCs w:val="21"/>
              </w:rPr>
              <w:t>comtrol</w:t>
            </w:r>
            <w:proofErr w:type="spellEnd"/>
            <w:r>
              <w:rPr>
                <w:rFonts w:ascii="仿宋" w:eastAsia="仿宋" w:hAnsi="仿宋" w:cs="宋体" w:hint="eastAsia"/>
                <w:kern w:val="0"/>
                <w:szCs w:val="21"/>
              </w:rPr>
              <w:t>-M进行批量处理的并且能够详细讲解清楚方案的给1.5分，讲解不清楚的给0分，其他情况酌情给分。</w:t>
            </w:r>
          </w:p>
        </w:tc>
      </w:tr>
      <w:tr w:rsidR="00BC4A49">
        <w:trPr>
          <w:trHeight w:val="671"/>
        </w:trPr>
        <w:tc>
          <w:tcPr>
            <w:tcW w:w="722" w:type="dxa"/>
            <w:vMerge w:val="restart"/>
            <w:tcBorders>
              <w:top w:val="nil"/>
              <w:left w:val="single" w:sz="8" w:space="0" w:color="auto"/>
              <w:bottom w:val="single" w:sz="8" w:space="0" w:color="000000"/>
              <w:right w:val="single" w:sz="8" w:space="0" w:color="auto"/>
            </w:tcBorders>
            <w:shd w:val="clear" w:color="auto" w:fill="auto"/>
            <w:vAlign w:val="center"/>
          </w:tcPr>
          <w:p w:rsidR="00BC4A49" w:rsidRDefault="00AC4EB7">
            <w:pPr>
              <w:widowControl/>
              <w:jc w:val="left"/>
              <w:rPr>
                <w:rFonts w:ascii="微软雅黑" w:eastAsia="微软雅黑" w:hAnsi="微软雅黑" w:cs="宋体"/>
                <w:kern w:val="0"/>
                <w:sz w:val="20"/>
              </w:rPr>
            </w:pPr>
            <w:r>
              <w:rPr>
                <w:rFonts w:ascii="微软雅黑" w:eastAsia="微软雅黑" w:hAnsi="微软雅黑" w:cs="宋体" w:hint="eastAsia"/>
                <w:kern w:val="0"/>
                <w:sz w:val="20"/>
              </w:rPr>
              <w:t>系统功能</w:t>
            </w: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管理驾驶舱</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构建经营机构、客户经理、总行管理人员的贷后管理全景画像，实现机构、人员管理的精细化</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3</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评估管理驾驶舱整体功能，结合实际案例现场演示打分</w:t>
            </w:r>
          </w:p>
          <w:p w:rsidR="00BC4A49" w:rsidRDefault="00BC4A49">
            <w:pPr>
              <w:jc w:val="left"/>
              <w:rPr>
                <w:rFonts w:ascii="仿宋" w:eastAsia="仿宋" w:hAnsi="仿宋" w:cs="宋体"/>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高效的作业效率监控（如对客户经理作业跟踪、超时监控、一键督办等）</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多维度的作业效果评价（如对客户经理贷后评价、作业质量评价、日常排查监督反馈等）</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各个层级的驾驶舱是否清晰，布局合理，页面美观高级</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r w:rsidR="00BC4A49">
        <w:trPr>
          <w:trHeight w:val="18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贷后检查功能</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lastRenderedPageBreak/>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lastRenderedPageBreak/>
              <w:t>开发定</w:t>
            </w:r>
            <w:proofErr w:type="gramStart"/>
            <w:r>
              <w:rPr>
                <w:rFonts w:ascii="仿宋" w:eastAsia="仿宋" w:hAnsi="仿宋" w:cs="宋体" w:hint="eastAsia"/>
                <w:kern w:val="0"/>
                <w:szCs w:val="21"/>
              </w:rPr>
              <w:t>期贷</w:t>
            </w:r>
            <w:proofErr w:type="gramEnd"/>
            <w:r>
              <w:rPr>
                <w:rFonts w:ascii="仿宋" w:eastAsia="仿宋" w:hAnsi="仿宋" w:cs="宋体" w:hint="eastAsia"/>
                <w:kern w:val="0"/>
                <w:szCs w:val="21"/>
              </w:rPr>
              <w:t>后引导常规监测任务、触发式+定</w:t>
            </w:r>
            <w:proofErr w:type="gramStart"/>
            <w:r>
              <w:rPr>
                <w:rFonts w:ascii="仿宋" w:eastAsia="仿宋" w:hAnsi="仿宋" w:cs="宋体" w:hint="eastAsia"/>
                <w:kern w:val="0"/>
                <w:szCs w:val="21"/>
              </w:rPr>
              <w:t>期贷</w:t>
            </w:r>
            <w:proofErr w:type="gramEnd"/>
            <w:r>
              <w:rPr>
                <w:rFonts w:ascii="仿宋" w:eastAsia="仿宋" w:hAnsi="仿宋" w:cs="宋体" w:hint="eastAsia"/>
                <w:kern w:val="0"/>
                <w:szCs w:val="21"/>
              </w:rPr>
              <w:t>后引导风险排查任务、触发式+定</w:t>
            </w:r>
            <w:proofErr w:type="gramStart"/>
            <w:r>
              <w:rPr>
                <w:rFonts w:ascii="仿宋" w:eastAsia="仿宋" w:hAnsi="仿宋" w:cs="宋体" w:hint="eastAsia"/>
                <w:kern w:val="0"/>
                <w:szCs w:val="21"/>
              </w:rPr>
              <w:t>期贷</w:t>
            </w:r>
            <w:proofErr w:type="gramEnd"/>
            <w:r>
              <w:rPr>
                <w:rFonts w:ascii="仿宋" w:eastAsia="仿宋" w:hAnsi="仿宋" w:cs="宋体" w:hint="eastAsia"/>
                <w:kern w:val="0"/>
                <w:szCs w:val="21"/>
              </w:rPr>
              <w:t>后引导风险预警联动任务，实现引导式一体化贷后，并能支持联动闭环管理，提升贷后检查质效</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4</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评估贷后检查模块整体功能，结合实际案例现场演示打分</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lastRenderedPageBreak/>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开发模组化贷后检查报告，实现差异化、精细化管理，实现数据、风险分析自动引入贷后，</w:t>
            </w:r>
            <w:proofErr w:type="gramStart"/>
            <w:r>
              <w:rPr>
                <w:rFonts w:ascii="仿宋" w:eastAsia="仿宋" w:hAnsi="仿宋" w:cs="宋体" w:hint="eastAsia"/>
                <w:kern w:val="0"/>
                <w:szCs w:val="21"/>
              </w:rPr>
              <w:t>打造低</w:t>
            </w:r>
            <w:proofErr w:type="gramEnd"/>
            <w:r>
              <w:rPr>
                <w:rFonts w:ascii="仿宋" w:eastAsia="仿宋" w:hAnsi="仿宋" w:cs="宋体" w:hint="eastAsia"/>
                <w:kern w:val="0"/>
                <w:szCs w:val="21"/>
              </w:rPr>
              <w:t>风险自动化、高风险长流程的贷后管理模式，切实为客户经理提质增效</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根据行内贷后管理需求，专项检查模块支持不定期发起专项检查任务，允许自定义检查主题、检查周期、选择检查对象、检查人员、检查模板，实现任务派发、执行、审批、查询等功能</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配套优化移动PAD贷后检查，提升客户经理PAD使用率，实现客户经理在企业现场即完成贷后检查，提升移动化办公效能</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贷后检查视图模块覆盖关键指标，此模块通过分析贷后检查的各项结果，有效地帮助管理层了解和控制客户经理的工作效率和质量</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r w:rsidR="00BC4A49">
        <w:trPr>
          <w:trHeight w:val="761"/>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风险分类功能</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实现全行级常规风险分类任务，规范风险分类流程，提升分类准确性</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2.5</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Calibri" w:hAnsi="Calibri" w:cs="Calibri"/>
                <w:kern w:val="0"/>
                <w:szCs w:val="21"/>
              </w:rPr>
            </w:pPr>
            <w:r>
              <w:rPr>
                <w:rFonts w:ascii="仿宋" w:eastAsia="仿宋" w:hAnsi="仿宋" w:cs="宋体" w:hint="eastAsia"/>
                <w:kern w:val="0"/>
                <w:szCs w:val="21"/>
              </w:rPr>
              <w:t>评估风险分类模块整体功能，结合实际案例现场演示打分</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实现模块化规则参数配置，便于应对政策变动，提升功能配置灵活性</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83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探索风险分类结果应用，作为差异化贷后管理方案或是应用于非现场排查客户筛选条件之一</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r w:rsidR="00BC4A49">
        <w:trPr>
          <w:trHeight w:val="18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催收管理功能</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打造催收作业线上化、催收管理结构化、催收动作精准化的催收管理体系，提升催收效能，并配套催收作业工具。搭建催收场景，支持一键外呼，并自动保存相关音频影像数据</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2</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3.5</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评估催收管理模块整体功能，结合实际案例现场演示打分</w:t>
            </w: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探索客户履约画像行为标签，分析客户回收概率，实施客群分层分类管理，提升催收质效。实现催收策略、催收作业、催收画像的一体化管理，在合</w:t>
            </w:r>
            <w:proofErr w:type="gramStart"/>
            <w:r>
              <w:rPr>
                <w:rFonts w:ascii="仿宋" w:eastAsia="仿宋" w:hAnsi="仿宋" w:cs="宋体" w:hint="eastAsia"/>
                <w:kern w:val="0"/>
                <w:szCs w:val="21"/>
              </w:rPr>
              <w:t>规</w:t>
            </w:r>
            <w:proofErr w:type="gramEnd"/>
            <w:r>
              <w:rPr>
                <w:rFonts w:ascii="仿宋" w:eastAsia="仿宋" w:hAnsi="仿宋" w:cs="宋体" w:hint="eastAsia"/>
                <w:kern w:val="0"/>
                <w:szCs w:val="21"/>
              </w:rPr>
              <w:t>性催收的基础上切实有效地提高资产回收能力，最大程度地挽回违约损失</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催</w:t>
            </w:r>
            <w:proofErr w:type="gramStart"/>
            <w:r>
              <w:rPr>
                <w:rFonts w:ascii="仿宋" w:eastAsia="仿宋" w:hAnsi="仿宋" w:cs="宋体" w:hint="eastAsia"/>
                <w:kern w:val="0"/>
                <w:szCs w:val="21"/>
              </w:rPr>
              <w:t>收视图</w:t>
            </w:r>
            <w:proofErr w:type="gramEnd"/>
            <w:r>
              <w:rPr>
                <w:rFonts w:ascii="仿宋" w:eastAsia="仿宋" w:hAnsi="仿宋" w:cs="宋体" w:hint="eastAsia"/>
                <w:kern w:val="0"/>
                <w:szCs w:val="21"/>
              </w:rPr>
              <w:t>模块覆盖关键指标，用于监控和评估客户经理在贷后催收作业过程中的表现。这个模块通过一系列的数据指标，为管理层呈现出客户经理的催收效率和成果，从而更有效地监控和提升团队在贷后催收工作中的整体表现</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r w:rsidR="00BC4A49">
        <w:trPr>
          <w:trHeight w:val="78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其他重要功能</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能建立丰富的指标体系，层级分明，结构清晰，对管理支持作用明显。并且负责对指标的深度加工处理</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1.5</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结合实际案例现场演示打分</w:t>
            </w: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能实现对客户精细化的分层分类管理</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具备强大的统计分析功能，支持多维度的导出，便于管理人员进行数据分析</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系统的具备灵活的配置功能，前端业务人员能实现高效的调整</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系统的整体的智能化程度较高，能对行方的业务发展起到长期的推动与促进</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r w:rsidR="00BC4A49">
        <w:trPr>
          <w:trHeight w:val="327"/>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厂商实力</w:t>
            </w:r>
          </w:p>
          <w:p w:rsidR="00BC4A49" w:rsidRDefault="00AC4EB7">
            <w:pPr>
              <w:widowControl/>
              <w:jc w:val="left"/>
              <w:rPr>
                <w:rFonts w:ascii="Calibri" w:hAnsi="Calibri" w:cs="Calibri"/>
                <w:kern w:val="0"/>
                <w:szCs w:val="21"/>
              </w:rPr>
            </w:pPr>
            <w:r>
              <w:rPr>
                <w:rFonts w:ascii="Calibri" w:hAnsi="Calibri" w:cs="Calibri"/>
                <w:kern w:val="0"/>
                <w:szCs w:val="21"/>
              </w:rPr>
              <w:t xml:space="preserve">　</w:t>
            </w:r>
          </w:p>
          <w:p w:rsidR="00BC4A49" w:rsidRDefault="00AC4EB7">
            <w:pPr>
              <w:jc w:val="left"/>
              <w:rPr>
                <w:rFonts w:ascii="仿宋" w:eastAsia="仿宋" w:hAnsi="仿宋" w:cs="宋体"/>
                <w:kern w:val="0"/>
                <w:szCs w:val="21"/>
              </w:rPr>
            </w:pPr>
            <w:r>
              <w:rPr>
                <w:rFonts w:ascii="Calibri" w:hAnsi="Calibri" w:cs="Calibri"/>
                <w:kern w:val="0"/>
                <w:szCs w:val="21"/>
              </w:rPr>
              <w:t xml:space="preserve">　</w:t>
            </w: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具备股份制上市银行、城商行和</w:t>
            </w:r>
            <w:proofErr w:type="gramStart"/>
            <w:r>
              <w:rPr>
                <w:rFonts w:ascii="仿宋" w:eastAsia="仿宋" w:hAnsi="仿宋" w:cs="宋体" w:hint="eastAsia"/>
                <w:kern w:val="0"/>
                <w:szCs w:val="21"/>
              </w:rPr>
              <w:t>农商行</w:t>
            </w:r>
            <w:proofErr w:type="gramEnd"/>
            <w:r>
              <w:rPr>
                <w:rFonts w:ascii="仿宋" w:eastAsia="仿宋" w:hAnsi="仿宋" w:cs="宋体" w:hint="eastAsia"/>
                <w:kern w:val="0"/>
                <w:szCs w:val="21"/>
              </w:rPr>
              <w:t>不同规模银行贷后系统的实施案例</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1</w:t>
            </w:r>
          </w:p>
        </w:tc>
        <w:tc>
          <w:tcPr>
            <w:tcW w:w="567"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2410" w:type="dxa"/>
            <w:vMerge w:val="restart"/>
            <w:tcBorders>
              <w:top w:val="nil"/>
              <w:left w:val="nil"/>
              <w:right w:val="single" w:sz="8" w:space="0" w:color="auto"/>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结合实际案例现场演示打分</w:t>
            </w: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产品经理业务能力较强，对行方的需求理解到位，产品介绍生动形象</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c>
          <w:tcPr>
            <w:tcW w:w="2410" w:type="dxa"/>
            <w:vMerge/>
            <w:tcBorders>
              <w:left w:val="nil"/>
              <w:right w:val="single" w:sz="8" w:space="0" w:color="auto"/>
            </w:tcBorders>
            <w:shd w:val="clear" w:color="auto" w:fill="auto"/>
            <w:vAlign w:val="center"/>
          </w:tcPr>
          <w:p w:rsidR="00BC4A49" w:rsidRDefault="00BC4A49">
            <w:pPr>
              <w:jc w:val="left"/>
              <w:rPr>
                <w:rFonts w:ascii="Calibri" w:hAnsi="Calibri" w:cs="Calibri"/>
                <w:kern w:val="0"/>
                <w:szCs w:val="21"/>
              </w:rPr>
            </w:pPr>
          </w:p>
        </w:tc>
      </w:tr>
      <w:tr w:rsidR="00BC4A49">
        <w:trPr>
          <w:trHeight w:val="300"/>
        </w:trPr>
        <w:tc>
          <w:tcPr>
            <w:tcW w:w="722" w:type="dxa"/>
            <w:vMerge/>
            <w:tcBorders>
              <w:top w:val="nil"/>
              <w:left w:val="single" w:sz="8" w:space="0" w:color="auto"/>
              <w:bottom w:val="single" w:sz="8" w:space="0" w:color="000000"/>
              <w:right w:val="single" w:sz="8" w:space="0" w:color="auto"/>
            </w:tcBorders>
            <w:vAlign w:val="center"/>
          </w:tcPr>
          <w:p w:rsidR="00BC4A49" w:rsidRDefault="00BC4A49">
            <w:pPr>
              <w:widowControl/>
              <w:jc w:val="left"/>
              <w:rPr>
                <w:rFonts w:ascii="微软雅黑" w:eastAsia="微软雅黑" w:hAnsi="微软雅黑" w:cs="宋体"/>
                <w:kern w:val="0"/>
                <w:sz w:val="20"/>
              </w:rPr>
            </w:pPr>
          </w:p>
        </w:tc>
        <w:tc>
          <w:tcPr>
            <w:tcW w:w="838"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BC4A49" w:rsidRDefault="00AC4EB7">
            <w:pPr>
              <w:widowControl/>
              <w:jc w:val="center"/>
              <w:rPr>
                <w:rFonts w:ascii="仿宋" w:eastAsia="仿宋" w:hAnsi="仿宋" w:cs="宋体"/>
                <w:kern w:val="0"/>
                <w:szCs w:val="21"/>
              </w:rPr>
            </w:pPr>
            <w:r>
              <w:rPr>
                <w:rFonts w:ascii="仿宋" w:eastAsia="仿宋" w:hAnsi="仿宋" w:cs="宋体" w:hint="eastAsia"/>
                <w:kern w:val="0"/>
                <w:szCs w:val="21"/>
              </w:rPr>
              <w:t>具备较强的培训转化能力，在系统交付前对行</w:t>
            </w:r>
            <w:proofErr w:type="gramStart"/>
            <w:r>
              <w:rPr>
                <w:rFonts w:ascii="仿宋" w:eastAsia="仿宋" w:hAnsi="仿宋" w:cs="宋体" w:hint="eastAsia"/>
                <w:kern w:val="0"/>
                <w:szCs w:val="21"/>
              </w:rPr>
              <w:t>方业务</w:t>
            </w:r>
            <w:proofErr w:type="gramEnd"/>
            <w:r>
              <w:rPr>
                <w:rFonts w:ascii="仿宋" w:eastAsia="仿宋" w:hAnsi="仿宋" w:cs="宋体" w:hint="eastAsia"/>
                <w:kern w:val="0"/>
                <w:szCs w:val="21"/>
              </w:rPr>
              <w:t>及科技人员进行培训，确保系统交付后，行方人员能自主对系统进行维护升级</w:t>
            </w:r>
          </w:p>
        </w:tc>
        <w:tc>
          <w:tcPr>
            <w:tcW w:w="567" w:type="dxa"/>
            <w:tcBorders>
              <w:top w:val="nil"/>
              <w:left w:val="nil"/>
              <w:bottom w:val="single" w:sz="8" w:space="0" w:color="auto"/>
              <w:right w:val="single" w:sz="8" w:space="0" w:color="auto"/>
            </w:tcBorders>
            <w:shd w:val="clear" w:color="auto" w:fill="auto"/>
            <w:vAlign w:val="center"/>
          </w:tcPr>
          <w:p w:rsidR="00BC4A49" w:rsidRDefault="00AC4EB7">
            <w:pPr>
              <w:widowControl/>
              <w:jc w:val="left"/>
              <w:rPr>
                <w:rFonts w:ascii="仿宋" w:eastAsia="仿宋" w:hAnsi="仿宋" w:cs="宋体"/>
                <w:kern w:val="0"/>
                <w:szCs w:val="21"/>
              </w:rPr>
            </w:pPr>
            <w:r>
              <w:rPr>
                <w:rFonts w:ascii="仿宋" w:eastAsia="仿宋" w:hAnsi="仿宋" w:cs="宋体" w:hint="eastAsia"/>
                <w:kern w:val="0"/>
                <w:szCs w:val="21"/>
              </w:rPr>
              <w:t>0.5</w:t>
            </w:r>
          </w:p>
        </w:tc>
        <w:tc>
          <w:tcPr>
            <w:tcW w:w="567"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c>
          <w:tcPr>
            <w:tcW w:w="2410" w:type="dxa"/>
            <w:vMerge/>
            <w:tcBorders>
              <w:left w:val="nil"/>
              <w:bottom w:val="single" w:sz="8" w:space="0" w:color="auto"/>
              <w:right w:val="single" w:sz="8" w:space="0" w:color="auto"/>
            </w:tcBorders>
            <w:shd w:val="clear" w:color="auto" w:fill="auto"/>
            <w:vAlign w:val="center"/>
          </w:tcPr>
          <w:p w:rsidR="00BC4A49" w:rsidRDefault="00BC4A49">
            <w:pPr>
              <w:widowControl/>
              <w:jc w:val="left"/>
              <w:rPr>
                <w:rFonts w:ascii="Calibri" w:hAnsi="Calibri" w:cs="Calibri"/>
                <w:kern w:val="0"/>
                <w:szCs w:val="21"/>
              </w:rPr>
            </w:pPr>
          </w:p>
        </w:tc>
      </w:tr>
    </w:tbl>
    <w:p w:rsidR="00BC4A49" w:rsidRDefault="00AC4EB7">
      <w:pPr>
        <w:rPr>
          <w:rFonts w:ascii="仿宋" w:eastAsia="仿宋" w:hAnsi="仿宋"/>
          <w:sz w:val="28"/>
          <w:szCs w:val="28"/>
        </w:rPr>
      </w:pPr>
      <w:r>
        <w:rPr>
          <w:rFonts w:ascii="仿宋_GB2312" w:eastAsia="仿宋_GB2312" w:hAnsi="宋体" w:hint="eastAsia"/>
          <w:bCs/>
          <w:sz w:val="28"/>
        </w:rPr>
        <w:t>注：性能、兼容性测试等现场无法进行演示的技术指标需提供相关证明材料。</w:t>
      </w:r>
    </w:p>
    <w:p w:rsidR="00DE5FF8" w:rsidRDefault="00DE5FF8">
      <w:pPr>
        <w:autoSpaceDE w:val="0"/>
        <w:autoSpaceDN w:val="0"/>
        <w:adjustRightInd w:val="0"/>
        <w:spacing w:afterLines="100" w:after="312" w:line="640" w:lineRule="atLeast"/>
        <w:jc w:val="center"/>
        <w:outlineLvl w:val="0"/>
        <w:rPr>
          <w:rFonts w:ascii="黑体" w:eastAsia="黑体" w:hAnsi="黑体"/>
          <w:b/>
          <w:bCs/>
          <w:snapToGrid w:val="0"/>
          <w:sz w:val="28"/>
          <w:szCs w:val="28"/>
        </w:rPr>
      </w:pPr>
    </w:p>
    <w:p w:rsidR="00DE5FF8" w:rsidRDefault="00DE5FF8">
      <w:pPr>
        <w:autoSpaceDE w:val="0"/>
        <w:autoSpaceDN w:val="0"/>
        <w:adjustRightInd w:val="0"/>
        <w:spacing w:afterLines="100" w:after="312" w:line="640" w:lineRule="atLeast"/>
        <w:jc w:val="center"/>
        <w:outlineLvl w:val="0"/>
        <w:rPr>
          <w:rFonts w:ascii="黑体" w:eastAsia="黑体" w:hAnsi="黑体"/>
          <w:b/>
          <w:bCs/>
          <w:snapToGrid w:val="0"/>
          <w:sz w:val="28"/>
          <w:szCs w:val="28"/>
        </w:rPr>
      </w:pPr>
    </w:p>
    <w:p w:rsidR="00DE5FF8" w:rsidRDefault="00DE5FF8">
      <w:pPr>
        <w:autoSpaceDE w:val="0"/>
        <w:autoSpaceDN w:val="0"/>
        <w:adjustRightInd w:val="0"/>
        <w:spacing w:afterLines="100" w:after="312" w:line="640" w:lineRule="atLeast"/>
        <w:jc w:val="center"/>
        <w:outlineLvl w:val="0"/>
        <w:rPr>
          <w:rFonts w:ascii="黑体" w:eastAsia="黑体" w:hAnsi="黑体" w:hint="eastAsia"/>
          <w:b/>
          <w:bCs/>
          <w:snapToGrid w:val="0"/>
          <w:sz w:val="28"/>
          <w:szCs w:val="28"/>
        </w:rPr>
      </w:pPr>
    </w:p>
    <w:p w:rsidR="009470CA" w:rsidRDefault="009470CA">
      <w:pPr>
        <w:autoSpaceDE w:val="0"/>
        <w:autoSpaceDN w:val="0"/>
        <w:adjustRightInd w:val="0"/>
        <w:spacing w:afterLines="100" w:after="312" w:line="640" w:lineRule="atLeast"/>
        <w:jc w:val="center"/>
        <w:outlineLvl w:val="0"/>
        <w:rPr>
          <w:rFonts w:ascii="黑体" w:eastAsia="黑体" w:hAnsi="黑体" w:hint="eastAsia"/>
          <w:b/>
          <w:bCs/>
          <w:snapToGrid w:val="0"/>
          <w:sz w:val="28"/>
          <w:szCs w:val="28"/>
        </w:rPr>
      </w:pPr>
    </w:p>
    <w:p w:rsidR="009470CA" w:rsidRDefault="009470CA">
      <w:pPr>
        <w:autoSpaceDE w:val="0"/>
        <w:autoSpaceDN w:val="0"/>
        <w:adjustRightInd w:val="0"/>
        <w:spacing w:afterLines="100" w:after="312" w:line="640" w:lineRule="atLeast"/>
        <w:jc w:val="center"/>
        <w:outlineLvl w:val="0"/>
        <w:rPr>
          <w:rFonts w:ascii="黑体" w:eastAsia="黑体" w:hAnsi="黑体" w:hint="eastAsia"/>
          <w:b/>
          <w:bCs/>
          <w:snapToGrid w:val="0"/>
          <w:sz w:val="28"/>
          <w:szCs w:val="28"/>
        </w:rPr>
      </w:pPr>
    </w:p>
    <w:p w:rsidR="009470CA" w:rsidRDefault="009470CA">
      <w:pPr>
        <w:autoSpaceDE w:val="0"/>
        <w:autoSpaceDN w:val="0"/>
        <w:adjustRightInd w:val="0"/>
        <w:spacing w:afterLines="100" w:after="312" w:line="640" w:lineRule="atLeast"/>
        <w:jc w:val="center"/>
        <w:outlineLvl w:val="0"/>
        <w:rPr>
          <w:rFonts w:ascii="黑体" w:eastAsia="黑体" w:hAnsi="黑体" w:hint="eastAsia"/>
          <w:b/>
          <w:bCs/>
          <w:snapToGrid w:val="0"/>
          <w:sz w:val="28"/>
          <w:szCs w:val="28"/>
        </w:rPr>
      </w:pPr>
    </w:p>
    <w:p w:rsidR="009470CA" w:rsidRDefault="009470CA">
      <w:pPr>
        <w:autoSpaceDE w:val="0"/>
        <w:autoSpaceDN w:val="0"/>
        <w:adjustRightInd w:val="0"/>
        <w:spacing w:afterLines="100" w:after="312" w:line="640" w:lineRule="atLeast"/>
        <w:jc w:val="center"/>
        <w:outlineLvl w:val="0"/>
        <w:rPr>
          <w:rFonts w:ascii="黑体" w:eastAsia="黑体" w:hAnsi="黑体"/>
          <w:b/>
          <w:bCs/>
          <w:snapToGrid w:val="0"/>
          <w:sz w:val="28"/>
          <w:szCs w:val="28"/>
        </w:rPr>
      </w:pPr>
      <w:bookmarkStart w:id="1" w:name="_GoBack"/>
      <w:bookmarkEnd w:id="1"/>
    </w:p>
    <w:p w:rsidR="00BC4A49" w:rsidRDefault="00AC4EB7" w:rsidP="00DE5FF8">
      <w:pPr>
        <w:autoSpaceDE w:val="0"/>
        <w:autoSpaceDN w:val="0"/>
        <w:adjustRightInd w:val="0"/>
        <w:spacing w:line="560" w:lineRule="exact"/>
        <w:jc w:val="center"/>
        <w:outlineLvl w:val="0"/>
        <w:rPr>
          <w:rFonts w:ascii="黑体" w:eastAsia="黑体" w:hAnsi="黑体"/>
          <w:b/>
          <w:bCs/>
          <w:snapToGrid w:val="0"/>
          <w:sz w:val="28"/>
          <w:szCs w:val="28"/>
        </w:rPr>
      </w:pPr>
      <w:r>
        <w:rPr>
          <w:rFonts w:ascii="黑体" w:eastAsia="黑体" w:hAnsi="黑体" w:hint="eastAsia"/>
          <w:b/>
          <w:bCs/>
          <w:snapToGrid w:val="0"/>
          <w:sz w:val="28"/>
          <w:szCs w:val="28"/>
        </w:rPr>
        <w:lastRenderedPageBreak/>
        <w:t>第三部分   公告说明</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一、适用范围</w:t>
      </w:r>
    </w:p>
    <w:p w:rsidR="00BC4A49" w:rsidRDefault="00AC4EB7" w:rsidP="00DE5FF8">
      <w:pPr>
        <w:autoSpaceDE w:val="0"/>
        <w:autoSpaceDN w:val="0"/>
        <w:adjustRightInd w:val="0"/>
        <w:spacing w:line="560" w:lineRule="exact"/>
        <w:ind w:firstLine="624"/>
        <w:jc w:val="left"/>
        <w:rPr>
          <w:rFonts w:ascii="仿宋" w:eastAsia="仿宋" w:hAnsi="仿宋"/>
          <w:snapToGrid w:val="0"/>
          <w:sz w:val="28"/>
          <w:szCs w:val="28"/>
        </w:rPr>
      </w:pPr>
      <w:r>
        <w:rPr>
          <w:rFonts w:ascii="仿宋" w:eastAsia="仿宋" w:hAnsi="仿宋" w:hint="eastAsia"/>
          <w:snapToGrid w:val="0"/>
          <w:sz w:val="28"/>
          <w:szCs w:val="28"/>
        </w:rPr>
        <w:t>本公告文件仅适用于江苏昆山农村商业银行股份有限公司“智能贷后管理系统项目”而进行的公开选型。</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二、定义</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1、“公告人”系指组织本次项目的机构：江苏昆山农村商业银行股份有限公司。</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2、“意向人”系指满足本公告文件要求并有意向承担本项目建设的法人单位。</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3、“设备（系统）”系指意向人按公告文件规定，须向公告人提供的设备、软件系统、备品备件、工具、手册及其他有关技术资料和材料。</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4、“服务”系指公告文件规定意向人须承担的在选型过程中的技术服务、运输、安装调试、人员培训、售后服务和其他类似的义务。</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5、“公告文件”系指本文件及其附件，如公告人对公告文件及其附件进行有效的修改或澄清，则该修改和澄清构成公告文件不可分割的一部分。</w:t>
      </w:r>
    </w:p>
    <w:p w:rsidR="00BC4A49" w:rsidRDefault="00AC4EB7" w:rsidP="00DE5FF8">
      <w:pPr>
        <w:autoSpaceDE w:val="0"/>
        <w:autoSpaceDN w:val="0"/>
        <w:adjustRightInd w:val="0"/>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6、“技术方案”系指意向人按照公告文件要求编写，并向公告人递交的有效的文字说明、表格、图表等文件。</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三、对于本次公告的重要说明</w:t>
      </w:r>
    </w:p>
    <w:p w:rsidR="00BC4A49" w:rsidRDefault="00AC4EB7" w:rsidP="00DE5FF8">
      <w:pPr>
        <w:tabs>
          <w:tab w:val="left" w:pos="0"/>
        </w:tabs>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意向人须于20</w:t>
      </w:r>
      <w:r>
        <w:rPr>
          <w:rFonts w:ascii="仿宋_GB2312" w:eastAsia="仿宋_GB2312" w:hAnsi="宋体"/>
          <w:snapToGrid w:val="0"/>
          <w:sz w:val="28"/>
        </w:rPr>
        <w:t>24</w:t>
      </w:r>
      <w:r>
        <w:rPr>
          <w:rFonts w:ascii="仿宋" w:eastAsia="仿宋" w:hAnsi="仿宋" w:hint="eastAsia"/>
          <w:snapToGrid w:val="0"/>
          <w:sz w:val="28"/>
          <w:szCs w:val="28"/>
        </w:rPr>
        <w:t>年</w:t>
      </w:r>
      <w:r w:rsidR="00DE5FF8">
        <w:rPr>
          <w:rFonts w:ascii="仿宋_GB2312" w:eastAsia="仿宋_GB2312" w:hAnsi="宋体" w:hint="eastAsia"/>
          <w:snapToGrid w:val="0"/>
          <w:sz w:val="28"/>
        </w:rPr>
        <w:t>4</w:t>
      </w:r>
      <w:r>
        <w:rPr>
          <w:rFonts w:ascii="仿宋" w:eastAsia="仿宋" w:hAnsi="仿宋" w:hint="eastAsia"/>
          <w:snapToGrid w:val="0"/>
          <w:sz w:val="28"/>
          <w:szCs w:val="28"/>
        </w:rPr>
        <w:t>月</w:t>
      </w:r>
      <w:r w:rsidR="00DE5FF8">
        <w:rPr>
          <w:rFonts w:ascii="仿宋" w:eastAsia="仿宋" w:hAnsi="仿宋" w:hint="eastAsia"/>
          <w:snapToGrid w:val="0"/>
          <w:sz w:val="28"/>
          <w:szCs w:val="28"/>
        </w:rPr>
        <w:t>01</w:t>
      </w:r>
      <w:r>
        <w:rPr>
          <w:rFonts w:ascii="仿宋" w:eastAsia="仿宋" w:hAnsi="仿宋" w:hint="eastAsia"/>
          <w:snapToGrid w:val="0"/>
          <w:sz w:val="28"/>
          <w:szCs w:val="28"/>
        </w:rPr>
        <w:t>日17:00前将交流文档等材料发送至联系人邮箱，并主动联系本公告联系人协商安排时间进行现场讲解及</w:t>
      </w:r>
      <w:r>
        <w:rPr>
          <w:rFonts w:ascii="仿宋" w:eastAsia="仿宋" w:hAnsi="仿宋"/>
          <w:snapToGrid w:val="0"/>
          <w:sz w:val="28"/>
          <w:szCs w:val="28"/>
        </w:rPr>
        <w:t>答疑</w:t>
      </w:r>
      <w:r>
        <w:rPr>
          <w:rFonts w:ascii="仿宋" w:eastAsia="仿宋" w:hAnsi="仿宋" w:hint="eastAsia"/>
          <w:snapToGrid w:val="0"/>
          <w:sz w:val="28"/>
          <w:szCs w:val="28"/>
        </w:rPr>
        <w:t>,公告人将根据讲解和答疑情况确定入围厂商参加POC。</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四、对意向人的要求</w:t>
      </w:r>
    </w:p>
    <w:p w:rsidR="00BC4A49" w:rsidRDefault="00AC4EB7" w:rsidP="00DE5FF8">
      <w:pPr>
        <w:tabs>
          <w:tab w:val="left" w:pos="567"/>
        </w:tabs>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lastRenderedPageBreak/>
        <w:t>1、意向人</w:t>
      </w:r>
      <w:r>
        <w:rPr>
          <w:rFonts w:ascii="仿宋" w:eastAsia="仿宋" w:hAnsi="仿宋" w:hint="eastAsia"/>
          <w:sz w:val="28"/>
          <w:szCs w:val="28"/>
        </w:rPr>
        <w:t>必须为具有独立企业法人资格，具有合法名称、组织机构、固定的办公场所，注册资本要求不少于</w:t>
      </w:r>
      <w:r>
        <w:rPr>
          <w:rFonts w:ascii="仿宋" w:eastAsia="仿宋" w:hAnsi="仿宋"/>
          <w:sz w:val="28"/>
          <w:szCs w:val="28"/>
        </w:rPr>
        <w:t>500</w:t>
      </w:r>
      <w:r>
        <w:rPr>
          <w:rFonts w:ascii="仿宋" w:eastAsia="仿宋" w:hAnsi="仿宋" w:hint="eastAsia"/>
          <w:sz w:val="28"/>
          <w:szCs w:val="28"/>
        </w:rPr>
        <w:t>万元人民币（或等值外币），注册时间不少于</w:t>
      </w:r>
      <w:r>
        <w:rPr>
          <w:rFonts w:ascii="仿宋" w:eastAsia="仿宋" w:hAnsi="仿宋"/>
          <w:sz w:val="28"/>
          <w:szCs w:val="28"/>
        </w:rPr>
        <w:t>3</w:t>
      </w:r>
      <w:r>
        <w:rPr>
          <w:rFonts w:ascii="仿宋" w:eastAsia="仿宋" w:hAnsi="仿宋" w:hint="eastAsia"/>
          <w:sz w:val="28"/>
          <w:szCs w:val="28"/>
        </w:rPr>
        <w:t>年，且具有良好的技术力量、商业信誉和售后服务体系。</w:t>
      </w:r>
    </w:p>
    <w:p w:rsidR="00BC4A49" w:rsidRDefault="00AC4EB7" w:rsidP="00DE5FF8">
      <w:pPr>
        <w:tabs>
          <w:tab w:val="left" w:pos="567"/>
        </w:tabs>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2、意向人必须具有良好的经济和技术实力，能够按时提交公告人要求的交付件，并能够在选型过程中及时地提供公告人要求的优质服务。</w:t>
      </w:r>
    </w:p>
    <w:p w:rsidR="00BC4A49" w:rsidRDefault="00AC4EB7" w:rsidP="00DE5FF8">
      <w:pPr>
        <w:tabs>
          <w:tab w:val="left" w:pos="567"/>
        </w:tabs>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3、意向人近三年来签署过类似合同、承担过金融行业类似项目及成功案例，案例数不少于</w:t>
      </w:r>
      <w:r>
        <w:rPr>
          <w:rFonts w:ascii="仿宋" w:eastAsia="仿宋" w:hAnsi="仿宋"/>
          <w:snapToGrid w:val="0"/>
          <w:sz w:val="28"/>
          <w:szCs w:val="28"/>
        </w:rPr>
        <w:t>3</w:t>
      </w:r>
      <w:r>
        <w:rPr>
          <w:rFonts w:ascii="仿宋" w:eastAsia="仿宋" w:hAnsi="仿宋" w:hint="eastAsia"/>
          <w:snapToGrid w:val="0"/>
          <w:sz w:val="28"/>
          <w:szCs w:val="28"/>
        </w:rPr>
        <w:t>个。意向人应具备相应实施资格。</w:t>
      </w:r>
    </w:p>
    <w:p w:rsidR="00BC4A49" w:rsidRDefault="00AC4EB7" w:rsidP="00DE5FF8">
      <w:pPr>
        <w:tabs>
          <w:tab w:val="left" w:pos="567"/>
        </w:tabs>
        <w:spacing w:line="560" w:lineRule="exact"/>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4、意向人必须具有良好的银行资信和商业信誉，没有违法、违约记录，不处于被责令停业，财产被接管、冻结、破产等非正常经营状态。</w:t>
      </w:r>
    </w:p>
    <w:p w:rsidR="00BC4A49" w:rsidRDefault="00AC4EB7" w:rsidP="00DE5FF8">
      <w:pPr>
        <w:tabs>
          <w:tab w:val="left" w:pos="567"/>
        </w:tabs>
        <w:spacing w:line="560" w:lineRule="exact"/>
        <w:ind w:firstLineChars="200" w:firstLine="560"/>
        <w:jc w:val="left"/>
        <w:rPr>
          <w:rFonts w:ascii="仿宋" w:eastAsia="仿宋" w:hAnsi="仿宋"/>
          <w:snapToGrid w:val="0"/>
          <w:sz w:val="28"/>
          <w:szCs w:val="28"/>
        </w:rPr>
      </w:pPr>
      <w:r>
        <w:rPr>
          <w:rFonts w:ascii="仿宋_GB2312" w:eastAsia="仿宋_GB2312" w:hAnsi="宋体" w:hint="eastAsia"/>
          <w:sz w:val="28"/>
        </w:rPr>
        <w:t>5、意向人必须按照本选型公告第四部分附件的格式要求制作《供应商反腐败/反贿赂承诺书》，未经招标人书面同意，该格式不允许作任何修改。</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五、选型交流费用</w:t>
      </w:r>
    </w:p>
    <w:p w:rsidR="00BC4A49" w:rsidRDefault="00AC4EB7" w:rsidP="00DE5FF8">
      <w:pPr>
        <w:autoSpaceDE w:val="0"/>
        <w:autoSpaceDN w:val="0"/>
        <w:adjustRightInd w:val="0"/>
        <w:spacing w:line="560" w:lineRule="exact"/>
        <w:ind w:firstLine="624"/>
        <w:jc w:val="left"/>
        <w:rPr>
          <w:rFonts w:ascii="仿宋" w:eastAsia="仿宋" w:hAnsi="仿宋"/>
          <w:snapToGrid w:val="0"/>
          <w:sz w:val="28"/>
          <w:szCs w:val="28"/>
        </w:rPr>
      </w:pPr>
      <w:r>
        <w:rPr>
          <w:rFonts w:ascii="仿宋" w:eastAsia="仿宋" w:hAnsi="仿宋" w:hint="eastAsia"/>
          <w:snapToGrid w:val="0"/>
          <w:sz w:val="28"/>
          <w:szCs w:val="28"/>
        </w:rPr>
        <w:t>公告人提供选型交流的办公场所，测试用环境。此外，意向人应自行承担与参与选型的有关的全部费用，公告人在任何情况下无义务和责任承担上述费用。</w:t>
      </w:r>
    </w:p>
    <w:p w:rsidR="00BC4A49" w:rsidRDefault="00AC4EB7" w:rsidP="00DE5FF8">
      <w:pPr>
        <w:autoSpaceDE w:val="0"/>
        <w:autoSpaceDN w:val="0"/>
        <w:adjustRightInd w:val="0"/>
        <w:spacing w:line="560" w:lineRule="exact"/>
        <w:outlineLvl w:val="0"/>
        <w:rPr>
          <w:rFonts w:asciiTheme="minorEastAsia" w:eastAsiaTheme="minorEastAsia" w:hAnsiTheme="minorEastAsia"/>
          <w:snapToGrid w:val="0"/>
          <w:sz w:val="28"/>
          <w:szCs w:val="28"/>
        </w:rPr>
      </w:pPr>
      <w:r>
        <w:rPr>
          <w:rFonts w:asciiTheme="minorEastAsia" w:eastAsiaTheme="minorEastAsia" w:hAnsiTheme="minorEastAsia" w:hint="eastAsia"/>
          <w:snapToGrid w:val="0"/>
          <w:sz w:val="28"/>
          <w:szCs w:val="28"/>
        </w:rPr>
        <w:t>六、公告文件的解释及咨询</w:t>
      </w:r>
    </w:p>
    <w:p w:rsidR="00BC4A49" w:rsidRDefault="00AC4EB7" w:rsidP="00DE5FF8">
      <w:pPr>
        <w:autoSpaceDE w:val="0"/>
        <w:autoSpaceDN w:val="0"/>
        <w:adjustRightInd w:val="0"/>
        <w:spacing w:line="560" w:lineRule="exact"/>
        <w:ind w:firstLineChars="200" w:firstLine="560"/>
        <w:jc w:val="left"/>
        <w:rPr>
          <w:rFonts w:ascii="仿宋" w:eastAsia="仿宋" w:hAnsi="仿宋"/>
          <w:sz w:val="28"/>
          <w:szCs w:val="28"/>
        </w:rPr>
      </w:pPr>
      <w:r>
        <w:rPr>
          <w:rFonts w:ascii="仿宋" w:eastAsia="仿宋" w:hAnsi="仿宋" w:hint="eastAsia"/>
          <w:snapToGrid w:val="0"/>
          <w:sz w:val="28"/>
          <w:szCs w:val="28"/>
        </w:rPr>
        <w:t>本公告文件的解释权属公告人。</w:t>
      </w:r>
      <w:r>
        <w:rPr>
          <w:rFonts w:ascii="仿宋" w:eastAsia="仿宋" w:hAnsi="仿宋" w:hint="eastAsia"/>
          <w:sz w:val="28"/>
          <w:szCs w:val="28"/>
        </w:rPr>
        <w:t>对本次公告有任何询问，请与昆山农商银行本次公告联系人联系。</w:t>
      </w:r>
    </w:p>
    <w:p w:rsidR="00BC4A49" w:rsidRDefault="00AC4EB7">
      <w:pPr>
        <w:widowControl/>
        <w:spacing w:line="540" w:lineRule="exact"/>
        <w:rPr>
          <w:rFonts w:ascii="仿宋" w:eastAsia="仿宋" w:hAnsi="仿宋"/>
          <w:sz w:val="28"/>
          <w:szCs w:val="28"/>
        </w:rPr>
      </w:pPr>
      <w:r>
        <w:rPr>
          <w:rFonts w:ascii="仿宋" w:eastAsia="仿宋" w:hAnsi="仿宋"/>
          <w:sz w:val="28"/>
          <w:szCs w:val="28"/>
        </w:rPr>
        <w:br w:type="page"/>
      </w:r>
    </w:p>
    <w:p w:rsidR="00BC4A49" w:rsidRDefault="00AC4EB7">
      <w:pPr>
        <w:autoSpaceDE w:val="0"/>
        <w:autoSpaceDN w:val="0"/>
        <w:adjustRightInd w:val="0"/>
        <w:spacing w:afterLines="100" w:after="312" w:line="640" w:lineRule="atLeast"/>
        <w:jc w:val="center"/>
        <w:outlineLvl w:val="0"/>
        <w:rPr>
          <w:rFonts w:ascii="黑体" w:eastAsia="黑体" w:hAnsi="黑体"/>
          <w:b/>
          <w:bCs/>
          <w:snapToGrid w:val="0"/>
          <w:sz w:val="28"/>
          <w:szCs w:val="28"/>
        </w:rPr>
      </w:pPr>
      <w:r>
        <w:rPr>
          <w:rFonts w:ascii="黑体" w:eastAsia="黑体" w:hAnsi="黑体" w:hint="eastAsia"/>
          <w:b/>
          <w:bCs/>
          <w:snapToGrid w:val="0"/>
          <w:sz w:val="28"/>
          <w:szCs w:val="28"/>
        </w:rPr>
        <w:lastRenderedPageBreak/>
        <w:t>第四部分 附件</w:t>
      </w:r>
    </w:p>
    <w:p w:rsidR="00BC4A49" w:rsidRDefault="00AC4EB7" w:rsidP="00DE5FF8">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t>附件1：《供应商反腐败/反贿赂承诺书》</w:t>
      </w:r>
    </w:p>
    <w:p w:rsidR="00BC4A49" w:rsidRPr="00DE5FF8" w:rsidRDefault="00AC4EB7" w:rsidP="00DE5FF8">
      <w:pPr>
        <w:spacing w:line="440" w:lineRule="exact"/>
        <w:jc w:val="center"/>
        <w:rPr>
          <w:rFonts w:ascii="仿宋_GB2312" w:eastAsia="仿宋_GB2312" w:hAnsi="仿宋"/>
          <w:b/>
          <w:sz w:val="28"/>
          <w:szCs w:val="28"/>
        </w:rPr>
      </w:pPr>
      <w:r w:rsidRPr="00DE5FF8">
        <w:rPr>
          <w:rFonts w:ascii="仿宋_GB2312" w:eastAsia="仿宋_GB2312" w:hAnsi="仿宋" w:hint="eastAsia"/>
          <w:b/>
          <w:sz w:val="28"/>
          <w:szCs w:val="28"/>
        </w:rPr>
        <w:t>供应商反腐败/反贿赂承诺书</w:t>
      </w:r>
    </w:p>
    <w:p w:rsidR="00BC4A49" w:rsidRDefault="00AC4EB7" w:rsidP="00DE5FF8">
      <w:pPr>
        <w:spacing w:line="440" w:lineRule="exact"/>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（2）同意贵行解除相关合同，由此造成贵行的损失概由本公司完全承担并赔偿。</w:t>
      </w:r>
    </w:p>
    <w:p w:rsidR="00BC4A49" w:rsidRDefault="00AC4EB7" w:rsidP="00DE5FF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rsidR="00BC4A49" w:rsidRDefault="00BC4A49" w:rsidP="00DE5FF8">
      <w:pPr>
        <w:spacing w:line="440" w:lineRule="exact"/>
        <w:ind w:firstLine="600"/>
        <w:rPr>
          <w:rFonts w:ascii="仿宋_GB2312" w:eastAsia="仿宋_GB2312" w:hAnsi="宋体"/>
          <w:sz w:val="28"/>
          <w:szCs w:val="28"/>
        </w:rPr>
      </w:pPr>
    </w:p>
    <w:p w:rsidR="00BC4A49" w:rsidRDefault="00AC4EB7" w:rsidP="00DE5FF8">
      <w:pPr>
        <w:spacing w:line="440" w:lineRule="exact"/>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BC4A49" w:rsidRDefault="00AC4EB7" w:rsidP="00DE5FF8">
      <w:pPr>
        <w:spacing w:line="440" w:lineRule="exact"/>
        <w:ind w:firstLine="600"/>
        <w:jc w:val="right"/>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rsidR="00BC4A49" w:rsidRDefault="00AC4EB7" w:rsidP="00DE5FF8">
      <w:pPr>
        <w:spacing w:line="440" w:lineRule="exact"/>
        <w:ind w:firstLine="600"/>
        <w:jc w:val="right"/>
        <w:rPr>
          <w:rFonts w:ascii="仿宋_GB2312" w:eastAsia="仿宋_GB2312" w:hAnsi="宋体"/>
          <w:sz w:val="28"/>
          <w:szCs w:val="28"/>
        </w:rPr>
      </w:pPr>
      <w:r>
        <w:rPr>
          <w:rFonts w:ascii="仿宋_GB2312" w:eastAsia="仿宋_GB2312" w:hAnsi="宋体" w:hint="eastAsia"/>
          <w:sz w:val="28"/>
          <w:szCs w:val="28"/>
        </w:rPr>
        <w:t xml:space="preserve">日期：           </w:t>
      </w:r>
    </w:p>
    <w:p w:rsidR="00BC4A49" w:rsidRDefault="00BC4A49">
      <w:pPr>
        <w:autoSpaceDE w:val="0"/>
        <w:autoSpaceDN w:val="0"/>
        <w:adjustRightInd w:val="0"/>
        <w:jc w:val="left"/>
        <w:rPr>
          <w:rFonts w:ascii="仿宋_GB2312" w:eastAsia="仿宋_GB2312" w:hAnsi="仿宋"/>
          <w:sz w:val="28"/>
          <w:szCs w:val="28"/>
        </w:rPr>
      </w:pPr>
    </w:p>
    <w:sectPr w:rsidR="00BC4A4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4D" w:rsidRDefault="0081464D">
      <w:r>
        <w:separator/>
      </w:r>
    </w:p>
  </w:endnote>
  <w:endnote w:type="continuationSeparator" w:id="0">
    <w:p w:rsidR="0081464D" w:rsidRDefault="0081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49" w:rsidRDefault="00AC4EB7">
    <w:pPr>
      <w:pStyle w:val="a7"/>
      <w:jc w:val="center"/>
    </w:pPr>
    <w:r>
      <w:fldChar w:fldCharType="begin"/>
    </w:r>
    <w:r>
      <w:instrText xml:space="preserve"> PAGE   \* MERGEFORMAT </w:instrText>
    </w:r>
    <w:r>
      <w:fldChar w:fldCharType="separate"/>
    </w:r>
    <w:r w:rsidR="009470CA" w:rsidRPr="009470CA">
      <w:rPr>
        <w:noProof/>
        <w:lang w:val="zh-CN"/>
      </w:rPr>
      <w:t>14</w:t>
    </w:r>
    <w:r>
      <w:fldChar w:fldCharType="end"/>
    </w:r>
  </w:p>
  <w:p w:rsidR="00BC4A49" w:rsidRDefault="00BC4A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4D" w:rsidRDefault="0081464D">
      <w:r>
        <w:separator/>
      </w:r>
    </w:p>
  </w:footnote>
  <w:footnote w:type="continuationSeparator" w:id="0">
    <w:p w:rsidR="0081464D" w:rsidRDefault="00814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70C5"/>
    <w:rsid w:val="00017A5D"/>
    <w:rsid w:val="000228CC"/>
    <w:rsid w:val="0002326F"/>
    <w:rsid w:val="00026B36"/>
    <w:rsid w:val="0003056B"/>
    <w:rsid w:val="00037C24"/>
    <w:rsid w:val="00044B7E"/>
    <w:rsid w:val="00045D25"/>
    <w:rsid w:val="00046051"/>
    <w:rsid w:val="00051049"/>
    <w:rsid w:val="00061380"/>
    <w:rsid w:val="00064D1A"/>
    <w:rsid w:val="00067B83"/>
    <w:rsid w:val="00074AD0"/>
    <w:rsid w:val="000776C3"/>
    <w:rsid w:val="000A51BA"/>
    <w:rsid w:val="000A691D"/>
    <w:rsid w:val="000B75AC"/>
    <w:rsid w:val="000C07C1"/>
    <w:rsid w:val="000C7D98"/>
    <w:rsid w:val="000F3B3B"/>
    <w:rsid w:val="00104700"/>
    <w:rsid w:val="00111A00"/>
    <w:rsid w:val="001300AA"/>
    <w:rsid w:val="00133894"/>
    <w:rsid w:val="00141294"/>
    <w:rsid w:val="0014176E"/>
    <w:rsid w:val="00143A47"/>
    <w:rsid w:val="00147A3B"/>
    <w:rsid w:val="0015345F"/>
    <w:rsid w:val="00155D96"/>
    <w:rsid w:val="00170F7C"/>
    <w:rsid w:val="001713E4"/>
    <w:rsid w:val="00171FBB"/>
    <w:rsid w:val="001758C3"/>
    <w:rsid w:val="001879C7"/>
    <w:rsid w:val="00192E20"/>
    <w:rsid w:val="001A3C78"/>
    <w:rsid w:val="001D2A69"/>
    <w:rsid w:val="001E4169"/>
    <w:rsid w:val="00217F22"/>
    <w:rsid w:val="00224F7D"/>
    <w:rsid w:val="00226D35"/>
    <w:rsid w:val="00230F2B"/>
    <w:rsid w:val="00232AAD"/>
    <w:rsid w:val="00243385"/>
    <w:rsid w:val="00246B12"/>
    <w:rsid w:val="002506AB"/>
    <w:rsid w:val="0025552F"/>
    <w:rsid w:val="00255BD8"/>
    <w:rsid w:val="002709B6"/>
    <w:rsid w:val="00276111"/>
    <w:rsid w:val="00283570"/>
    <w:rsid w:val="00286714"/>
    <w:rsid w:val="002913A6"/>
    <w:rsid w:val="00296B12"/>
    <w:rsid w:val="002A2C52"/>
    <w:rsid w:val="002A543E"/>
    <w:rsid w:val="002A743D"/>
    <w:rsid w:val="002B5345"/>
    <w:rsid w:val="002C422F"/>
    <w:rsid w:val="002D2126"/>
    <w:rsid w:val="002D42E9"/>
    <w:rsid w:val="002E6852"/>
    <w:rsid w:val="002F20F8"/>
    <w:rsid w:val="002F482A"/>
    <w:rsid w:val="002F4B4B"/>
    <w:rsid w:val="002F5AD8"/>
    <w:rsid w:val="002F5CFC"/>
    <w:rsid w:val="003027DC"/>
    <w:rsid w:val="00306508"/>
    <w:rsid w:val="003160DF"/>
    <w:rsid w:val="00316D8B"/>
    <w:rsid w:val="0032471F"/>
    <w:rsid w:val="003250DB"/>
    <w:rsid w:val="0032671F"/>
    <w:rsid w:val="00333C23"/>
    <w:rsid w:val="003343D0"/>
    <w:rsid w:val="00342341"/>
    <w:rsid w:val="0034303E"/>
    <w:rsid w:val="00354B45"/>
    <w:rsid w:val="003623C2"/>
    <w:rsid w:val="00367104"/>
    <w:rsid w:val="00370F2A"/>
    <w:rsid w:val="00374B9D"/>
    <w:rsid w:val="00381FBC"/>
    <w:rsid w:val="00382B48"/>
    <w:rsid w:val="003A2650"/>
    <w:rsid w:val="003B0431"/>
    <w:rsid w:val="003B2D52"/>
    <w:rsid w:val="003C2261"/>
    <w:rsid w:val="003C5200"/>
    <w:rsid w:val="003D35F7"/>
    <w:rsid w:val="003D67F0"/>
    <w:rsid w:val="003E2F62"/>
    <w:rsid w:val="003F19F2"/>
    <w:rsid w:val="003F5189"/>
    <w:rsid w:val="003F6A23"/>
    <w:rsid w:val="00400262"/>
    <w:rsid w:val="0040192C"/>
    <w:rsid w:val="0040682C"/>
    <w:rsid w:val="00432D60"/>
    <w:rsid w:val="00445243"/>
    <w:rsid w:val="00447390"/>
    <w:rsid w:val="00454490"/>
    <w:rsid w:val="00485D7F"/>
    <w:rsid w:val="00491DB6"/>
    <w:rsid w:val="004B34DB"/>
    <w:rsid w:val="004C01A6"/>
    <w:rsid w:val="004C1518"/>
    <w:rsid w:val="004C2BDB"/>
    <w:rsid w:val="004C49F5"/>
    <w:rsid w:val="004D0FCF"/>
    <w:rsid w:val="004D737D"/>
    <w:rsid w:val="004F3852"/>
    <w:rsid w:val="005137A4"/>
    <w:rsid w:val="00514C4E"/>
    <w:rsid w:val="005172FB"/>
    <w:rsid w:val="0053032C"/>
    <w:rsid w:val="005344C7"/>
    <w:rsid w:val="0054425B"/>
    <w:rsid w:val="00565E2A"/>
    <w:rsid w:val="005675A6"/>
    <w:rsid w:val="00571060"/>
    <w:rsid w:val="005879F3"/>
    <w:rsid w:val="005A0D65"/>
    <w:rsid w:val="005A1A1E"/>
    <w:rsid w:val="005A61DE"/>
    <w:rsid w:val="005B13BD"/>
    <w:rsid w:val="005D3033"/>
    <w:rsid w:val="005E40B0"/>
    <w:rsid w:val="005F082C"/>
    <w:rsid w:val="005F2F67"/>
    <w:rsid w:val="00600C19"/>
    <w:rsid w:val="00601726"/>
    <w:rsid w:val="00606527"/>
    <w:rsid w:val="00617D02"/>
    <w:rsid w:val="006227B9"/>
    <w:rsid w:val="0062480C"/>
    <w:rsid w:val="00631183"/>
    <w:rsid w:val="006341AB"/>
    <w:rsid w:val="00635476"/>
    <w:rsid w:val="00641A34"/>
    <w:rsid w:val="0064312F"/>
    <w:rsid w:val="00645F80"/>
    <w:rsid w:val="00681BB5"/>
    <w:rsid w:val="00692CEF"/>
    <w:rsid w:val="00693CD7"/>
    <w:rsid w:val="00696B65"/>
    <w:rsid w:val="006A0E5C"/>
    <w:rsid w:val="006B35C4"/>
    <w:rsid w:val="006B4BD9"/>
    <w:rsid w:val="006C1594"/>
    <w:rsid w:val="006C192F"/>
    <w:rsid w:val="006D394A"/>
    <w:rsid w:val="006F3FCD"/>
    <w:rsid w:val="007159AD"/>
    <w:rsid w:val="00722E49"/>
    <w:rsid w:val="00740874"/>
    <w:rsid w:val="007415AB"/>
    <w:rsid w:val="0075409B"/>
    <w:rsid w:val="0076117F"/>
    <w:rsid w:val="00774130"/>
    <w:rsid w:val="007A2EAD"/>
    <w:rsid w:val="007A51D6"/>
    <w:rsid w:val="007A7B98"/>
    <w:rsid w:val="007B0DC4"/>
    <w:rsid w:val="007B40FA"/>
    <w:rsid w:val="007B6FF4"/>
    <w:rsid w:val="007D03DE"/>
    <w:rsid w:val="007E1F13"/>
    <w:rsid w:val="007E7B1D"/>
    <w:rsid w:val="007E7F3D"/>
    <w:rsid w:val="007F16C0"/>
    <w:rsid w:val="007F3ACA"/>
    <w:rsid w:val="00813377"/>
    <w:rsid w:val="00813F56"/>
    <w:rsid w:val="0081464D"/>
    <w:rsid w:val="00826355"/>
    <w:rsid w:val="00836505"/>
    <w:rsid w:val="008401BB"/>
    <w:rsid w:val="008717DC"/>
    <w:rsid w:val="00872D53"/>
    <w:rsid w:val="0088147A"/>
    <w:rsid w:val="00887ACD"/>
    <w:rsid w:val="008A5BBD"/>
    <w:rsid w:val="008B0A0E"/>
    <w:rsid w:val="00907C54"/>
    <w:rsid w:val="009139D7"/>
    <w:rsid w:val="00916DC9"/>
    <w:rsid w:val="0092405D"/>
    <w:rsid w:val="009242A0"/>
    <w:rsid w:val="00926A08"/>
    <w:rsid w:val="00936F64"/>
    <w:rsid w:val="0094160F"/>
    <w:rsid w:val="0094473C"/>
    <w:rsid w:val="009470CA"/>
    <w:rsid w:val="00980205"/>
    <w:rsid w:val="00985DBB"/>
    <w:rsid w:val="00993793"/>
    <w:rsid w:val="009B26FB"/>
    <w:rsid w:val="009C3B26"/>
    <w:rsid w:val="009D3341"/>
    <w:rsid w:val="009F5BE3"/>
    <w:rsid w:val="009F61EF"/>
    <w:rsid w:val="00A01D3A"/>
    <w:rsid w:val="00A0426E"/>
    <w:rsid w:val="00A0439B"/>
    <w:rsid w:val="00A148B9"/>
    <w:rsid w:val="00A227B6"/>
    <w:rsid w:val="00A24428"/>
    <w:rsid w:val="00A41378"/>
    <w:rsid w:val="00A440F3"/>
    <w:rsid w:val="00A514A0"/>
    <w:rsid w:val="00A65057"/>
    <w:rsid w:val="00A82E73"/>
    <w:rsid w:val="00AA43A3"/>
    <w:rsid w:val="00AB05F3"/>
    <w:rsid w:val="00AB5A56"/>
    <w:rsid w:val="00AB5E78"/>
    <w:rsid w:val="00AC43E4"/>
    <w:rsid w:val="00AC4583"/>
    <w:rsid w:val="00AC4EB7"/>
    <w:rsid w:val="00AC6B31"/>
    <w:rsid w:val="00AC7DAD"/>
    <w:rsid w:val="00AD3EF2"/>
    <w:rsid w:val="00AD449C"/>
    <w:rsid w:val="00B00F2F"/>
    <w:rsid w:val="00B040D5"/>
    <w:rsid w:val="00B04775"/>
    <w:rsid w:val="00B06C78"/>
    <w:rsid w:val="00B1261F"/>
    <w:rsid w:val="00B1570D"/>
    <w:rsid w:val="00B3167A"/>
    <w:rsid w:val="00B32853"/>
    <w:rsid w:val="00B47F40"/>
    <w:rsid w:val="00B57E9D"/>
    <w:rsid w:val="00B671E3"/>
    <w:rsid w:val="00B734F0"/>
    <w:rsid w:val="00B80A3A"/>
    <w:rsid w:val="00B851A4"/>
    <w:rsid w:val="00B97B92"/>
    <w:rsid w:val="00BC1003"/>
    <w:rsid w:val="00BC4A49"/>
    <w:rsid w:val="00BD0F3C"/>
    <w:rsid w:val="00BE319D"/>
    <w:rsid w:val="00BE6982"/>
    <w:rsid w:val="00BF47B0"/>
    <w:rsid w:val="00BF6AD4"/>
    <w:rsid w:val="00C10945"/>
    <w:rsid w:val="00C11E1E"/>
    <w:rsid w:val="00C4239E"/>
    <w:rsid w:val="00C4301E"/>
    <w:rsid w:val="00C5681F"/>
    <w:rsid w:val="00C57AD3"/>
    <w:rsid w:val="00C65513"/>
    <w:rsid w:val="00C81DAF"/>
    <w:rsid w:val="00C85907"/>
    <w:rsid w:val="00C91211"/>
    <w:rsid w:val="00C97C70"/>
    <w:rsid w:val="00CA2AA1"/>
    <w:rsid w:val="00CB0278"/>
    <w:rsid w:val="00CB0388"/>
    <w:rsid w:val="00CC189E"/>
    <w:rsid w:val="00CE301B"/>
    <w:rsid w:val="00CE7111"/>
    <w:rsid w:val="00CE748E"/>
    <w:rsid w:val="00CF1C7F"/>
    <w:rsid w:val="00D07F0A"/>
    <w:rsid w:val="00D22BF6"/>
    <w:rsid w:val="00D328FC"/>
    <w:rsid w:val="00D36CBB"/>
    <w:rsid w:val="00D5653C"/>
    <w:rsid w:val="00D62516"/>
    <w:rsid w:val="00D7287F"/>
    <w:rsid w:val="00D81061"/>
    <w:rsid w:val="00D92470"/>
    <w:rsid w:val="00D92854"/>
    <w:rsid w:val="00D94D45"/>
    <w:rsid w:val="00DA2587"/>
    <w:rsid w:val="00DB0495"/>
    <w:rsid w:val="00DB43CD"/>
    <w:rsid w:val="00DC1774"/>
    <w:rsid w:val="00DD300C"/>
    <w:rsid w:val="00DE1C61"/>
    <w:rsid w:val="00DE1FC1"/>
    <w:rsid w:val="00DE5FF8"/>
    <w:rsid w:val="00E02466"/>
    <w:rsid w:val="00E038AD"/>
    <w:rsid w:val="00E0549D"/>
    <w:rsid w:val="00E16C0C"/>
    <w:rsid w:val="00E207B2"/>
    <w:rsid w:val="00E22A0E"/>
    <w:rsid w:val="00E45012"/>
    <w:rsid w:val="00E60CD3"/>
    <w:rsid w:val="00E64CE9"/>
    <w:rsid w:val="00E73F51"/>
    <w:rsid w:val="00E90B14"/>
    <w:rsid w:val="00E91707"/>
    <w:rsid w:val="00E963D9"/>
    <w:rsid w:val="00E96C06"/>
    <w:rsid w:val="00EA0652"/>
    <w:rsid w:val="00EC2419"/>
    <w:rsid w:val="00ED23B0"/>
    <w:rsid w:val="00ED40FE"/>
    <w:rsid w:val="00ED5037"/>
    <w:rsid w:val="00ED72D9"/>
    <w:rsid w:val="00EE2D41"/>
    <w:rsid w:val="00F047AA"/>
    <w:rsid w:val="00F13C0F"/>
    <w:rsid w:val="00F16530"/>
    <w:rsid w:val="00F16605"/>
    <w:rsid w:val="00F1709B"/>
    <w:rsid w:val="00F17601"/>
    <w:rsid w:val="00F2253B"/>
    <w:rsid w:val="00F26548"/>
    <w:rsid w:val="00F30D7E"/>
    <w:rsid w:val="00F32C61"/>
    <w:rsid w:val="00F43CC6"/>
    <w:rsid w:val="00F44975"/>
    <w:rsid w:val="00F45E46"/>
    <w:rsid w:val="00F75473"/>
    <w:rsid w:val="00F87E55"/>
    <w:rsid w:val="00F9170C"/>
    <w:rsid w:val="00F91DA9"/>
    <w:rsid w:val="00F94F50"/>
    <w:rsid w:val="00F95D35"/>
    <w:rsid w:val="00FA71B7"/>
    <w:rsid w:val="00FA71EE"/>
    <w:rsid w:val="00FB13B0"/>
    <w:rsid w:val="00FC324F"/>
    <w:rsid w:val="00FE1F38"/>
    <w:rsid w:val="00FE2744"/>
    <w:rsid w:val="00FE3008"/>
    <w:rsid w:val="00FF368C"/>
    <w:rsid w:val="108A717E"/>
    <w:rsid w:val="11403E35"/>
    <w:rsid w:val="259C522B"/>
    <w:rsid w:val="515953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jc w:val="center"/>
      <w:outlineLvl w:val="2"/>
    </w:pPr>
    <w:rPr>
      <w:b/>
      <w:sz w:val="32"/>
    </w:rPr>
  </w:style>
  <w:style w:type="paragraph" w:styleId="4">
    <w:name w:val="heading 4"/>
    <w:basedOn w:val="a"/>
    <w:next w:val="a"/>
    <w:link w:val="4Char"/>
    <w:qFormat/>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tabs>
        <w:tab w:val="left" w:pos="360"/>
      </w:tabs>
      <w:ind w:left="360" w:hanging="360"/>
    </w:pPr>
  </w:style>
  <w:style w:type="paragraph" w:styleId="a4">
    <w:name w:val="Document Map"/>
    <w:basedOn w:val="a"/>
    <w:link w:val="Char"/>
    <w:uiPriority w:val="99"/>
    <w:semiHidden/>
    <w:unhideWhenUsed/>
    <w:rPr>
      <w:rFonts w:ascii="宋体"/>
      <w:sz w:val="18"/>
      <w:szCs w:val="18"/>
    </w:rPr>
  </w:style>
  <w:style w:type="paragraph" w:styleId="a5">
    <w:name w:val="Body Text"/>
    <w:basedOn w:val="a"/>
    <w:link w:val="Char0"/>
    <w:qFormat/>
    <w:pPr>
      <w:spacing w:line="480" w:lineRule="auto"/>
      <w:jc w:val="center"/>
    </w:pPr>
    <w:rPr>
      <w:rFonts w:ascii="宋体" w:eastAsia="楷体_GB2312" w:hint="eastAsia"/>
      <w:b/>
      <w:sz w:val="72"/>
    </w:rPr>
  </w:style>
  <w:style w:type="paragraph" w:styleId="a6">
    <w:name w:val="Date"/>
    <w:basedOn w:val="a"/>
    <w:next w:val="a"/>
    <w:link w:val="Char1"/>
    <w:qFormat/>
    <w:rPr>
      <w:rFonts w:eastAsia="楷体_GB2312"/>
    </w:r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Char0">
    <w:name w:val="正文文本 Char"/>
    <w:basedOn w:val="a0"/>
    <w:link w:val="a5"/>
    <w:qFormat/>
    <w:rPr>
      <w:rFonts w:ascii="宋体" w:eastAsia="楷体_GB2312" w:hAnsi="Times New Roman" w:cs="Times New Roman"/>
      <w:b/>
      <w:sz w:val="72"/>
      <w:szCs w:val="20"/>
    </w:rPr>
  </w:style>
  <w:style w:type="character" w:customStyle="1" w:styleId="Char1">
    <w:name w:val="日期 Char"/>
    <w:basedOn w:val="a0"/>
    <w:link w:val="a6"/>
    <w:qFormat/>
    <w:rPr>
      <w:rFonts w:ascii="Times New Roman" w:eastAsia="楷体_GB2312" w:hAnsi="Times New Roman" w:cs="Times New Roman"/>
      <w:szCs w:val="20"/>
    </w:rPr>
  </w:style>
  <w:style w:type="character" w:customStyle="1" w:styleId="Char2">
    <w:name w:val="页脚 Char"/>
    <w:basedOn w:val="a0"/>
    <w:link w:val="a7"/>
    <w:qFormat/>
    <w:rPr>
      <w:rFonts w:ascii="Times New Roman" w:eastAsia="宋体" w:hAnsi="Times New Roman" w:cs="Times New Roman"/>
      <w:sz w:val="18"/>
      <w:szCs w:val="20"/>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jc w:val="center"/>
      <w:outlineLvl w:val="2"/>
    </w:pPr>
    <w:rPr>
      <w:b/>
      <w:sz w:val="32"/>
    </w:rPr>
  </w:style>
  <w:style w:type="paragraph" w:styleId="4">
    <w:name w:val="heading 4"/>
    <w:basedOn w:val="a"/>
    <w:next w:val="a"/>
    <w:link w:val="4Char"/>
    <w:qFormat/>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tabs>
        <w:tab w:val="left" w:pos="360"/>
      </w:tabs>
      <w:ind w:left="360" w:hanging="360"/>
    </w:pPr>
  </w:style>
  <w:style w:type="paragraph" w:styleId="a4">
    <w:name w:val="Document Map"/>
    <w:basedOn w:val="a"/>
    <w:link w:val="Char"/>
    <w:uiPriority w:val="99"/>
    <w:semiHidden/>
    <w:unhideWhenUsed/>
    <w:rPr>
      <w:rFonts w:ascii="宋体"/>
      <w:sz w:val="18"/>
      <w:szCs w:val="18"/>
    </w:rPr>
  </w:style>
  <w:style w:type="paragraph" w:styleId="a5">
    <w:name w:val="Body Text"/>
    <w:basedOn w:val="a"/>
    <w:link w:val="Char0"/>
    <w:qFormat/>
    <w:pPr>
      <w:spacing w:line="480" w:lineRule="auto"/>
      <w:jc w:val="center"/>
    </w:pPr>
    <w:rPr>
      <w:rFonts w:ascii="宋体" w:eastAsia="楷体_GB2312" w:hint="eastAsia"/>
      <w:b/>
      <w:sz w:val="72"/>
    </w:rPr>
  </w:style>
  <w:style w:type="paragraph" w:styleId="a6">
    <w:name w:val="Date"/>
    <w:basedOn w:val="a"/>
    <w:next w:val="a"/>
    <w:link w:val="Char1"/>
    <w:qFormat/>
    <w:rPr>
      <w:rFonts w:eastAsia="楷体_GB2312"/>
    </w:r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Char0">
    <w:name w:val="正文文本 Char"/>
    <w:basedOn w:val="a0"/>
    <w:link w:val="a5"/>
    <w:qFormat/>
    <w:rPr>
      <w:rFonts w:ascii="宋体" w:eastAsia="楷体_GB2312" w:hAnsi="Times New Roman" w:cs="Times New Roman"/>
      <w:b/>
      <w:sz w:val="72"/>
      <w:szCs w:val="20"/>
    </w:rPr>
  </w:style>
  <w:style w:type="character" w:customStyle="1" w:styleId="Char1">
    <w:name w:val="日期 Char"/>
    <w:basedOn w:val="a0"/>
    <w:link w:val="a6"/>
    <w:qFormat/>
    <w:rPr>
      <w:rFonts w:ascii="Times New Roman" w:eastAsia="楷体_GB2312" w:hAnsi="Times New Roman" w:cs="Times New Roman"/>
      <w:szCs w:val="20"/>
    </w:rPr>
  </w:style>
  <w:style w:type="character" w:customStyle="1" w:styleId="Char2">
    <w:name w:val="页脚 Char"/>
    <w:basedOn w:val="a0"/>
    <w:link w:val="a7"/>
    <w:qFormat/>
    <w:rPr>
      <w:rFonts w:ascii="Times New Roman" w:eastAsia="宋体" w:hAnsi="Times New Roman" w:cs="Times New Roman"/>
      <w:sz w:val="18"/>
      <w:szCs w:val="20"/>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20FA2E-51E4-4DF7-8BEA-B7076CFA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1260</Words>
  <Characters>7186</Characters>
  <Application>Microsoft Office Word</Application>
  <DocSecurity>0</DocSecurity>
  <Lines>59</Lines>
  <Paragraphs>16</Paragraphs>
  <ScaleCrop>false</ScaleCrop>
  <Company>Microsoft</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3</cp:revision>
  <dcterms:created xsi:type="dcterms:W3CDTF">2024-03-11T08:21:00Z</dcterms:created>
  <dcterms:modified xsi:type="dcterms:W3CDTF">2024-03-11T08:35:00Z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C5912835D2DB4D74961B7C7816B41E53</vt:lpwstr>
  </property>
</Properties>
</file>