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招标编号：</w:t>
      </w:r>
      <w:r>
        <w:rPr>
          <w:rFonts w:ascii="黑体" w:eastAsia="黑体"/>
          <w:color w:val="000000" w:themeColor="text1"/>
          <w:sz w:val="28"/>
          <w:szCs w:val="28"/>
          <w14:textFill>
            <w14:solidFill>
              <w14:schemeClr w14:val="tx1"/>
            </w14:solidFill>
          </w14:textFill>
        </w:rPr>
        <w:t>KSRCBZB2025028</w:t>
      </w:r>
    </w:p>
    <w:p>
      <w:pPr>
        <w:tabs>
          <w:tab w:val="left" w:pos="8280"/>
        </w:tabs>
        <w:spacing w:line="360" w:lineRule="auto"/>
        <w:rPr>
          <w:rFonts w:ascii="黑体" w:eastAsia="黑体"/>
          <w:b/>
          <w:color w:val="000000" w:themeColor="text1"/>
          <w:sz w:val="28"/>
          <w:szCs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tabs>
          <w:tab w:val="left" w:pos="8280"/>
        </w:tabs>
        <w:spacing w:line="360" w:lineRule="auto"/>
        <w:rPr>
          <w:rFonts w:ascii="黑体" w:eastAsia="黑体"/>
          <w:b/>
          <w:color w:val="000000" w:themeColor="text1"/>
          <w:sz w:val="28"/>
          <w14:textFill>
            <w14:solidFill>
              <w14:schemeClr w14:val="tx1"/>
            </w14:solidFill>
          </w14:textFill>
        </w:rPr>
      </w:pPr>
    </w:p>
    <w:p>
      <w:pPr>
        <w:pStyle w:val="2"/>
        <w:tabs>
          <w:tab w:val="left" w:pos="8280"/>
        </w:tabs>
        <w:spacing w:after="0" w:line="360" w:lineRule="auto"/>
        <w:jc w:val="center"/>
        <w:outlineLvl w:val="0"/>
        <w:rPr>
          <w:rFonts w:ascii="黑体" w:eastAsia="黑体"/>
          <w:color w:val="000000" w:themeColor="text1"/>
          <w:sz w:val="44"/>
          <w14:textFill>
            <w14:solidFill>
              <w14:schemeClr w14:val="tx1"/>
            </w14:solidFill>
          </w14:textFill>
        </w:rPr>
      </w:pPr>
      <w:r>
        <w:rPr>
          <w:rFonts w:hint="eastAsia" w:ascii="黑体" w:eastAsia="黑体"/>
          <w:color w:val="000000" w:themeColor="text1"/>
          <w:sz w:val="44"/>
          <w14:textFill>
            <w14:solidFill>
              <w14:schemeClr w14:val="tx1"/>
            </w14:solidFill>
          </w14:textFill>
        </w:rPr>
        <w:t>江苏</w:t>
      </w:r>
      <w:r>
        <w:rPr>
          <w:rFonts w:ascii="黑体" w:eastAsia="黑体"/>
          <w:color w:val="000000" w:themeColor="text1"/>
          <w:sz w:val="44"/>
          <w14:textFill>
            <w14:solidFill>
              <w14:schemeClr w14:val="tx1"/>
            </w14:solidFill>
          </w14:textFill>
        </w:rPr>
        <w:t>昆山农村商业银行</w:t>
      </w:r>
      <w:r>
        <w:rPr>
          <w:rFonts w:hint="eastAsia" w:ascii="黑体" w:eastAsia="黑体"/>
          <w:color w:val="000000" w:themeColor="text1"/>
          <w:sz w:val="44"/>
          <w14:textFill>
            <w14:solidFill>
              <w14:schemeClr w14:val="tx1"/>
            </w14:solidFill>
          </w14:textFill>
        </w:rPr>
        <w:t>股份有限公司</w:t>
      </w:r>
    </w:p>
    <w:p>
      <w:pPr>
        <w:pStyle w:val="2"/>
        <w:tabs>
          <w:tab w:val="left" w:pos="8280"/>
        </w:tabs>
        <w:spacing w:after="0" w:line="360" w:lineRule="auto"/>
        <w:jc w:val="center"/>
        <w:outlineLvl w:val="0"/>
        <w:rPr>
          <w:rFonts w:ascii="黑体" w:eastAsia="黑体"/>
          <w:color w:val="000000" w:themeColor="text1"/>
          <w:sz w:val="44"/>
          <w14:textFill>
            <w14:solidFill>
              <w14:schemeClr w14:val="tx1"/>
            </w14:solidFill>
          </w14:textFill>
        </w:rPr>
      </w:pPr>
      <w:r>
        <w:rPr>
          <w:rFonts w:hint="eastAsia" w:ascii="黑体" w:eastAsia="黑体"/>
          <w:color w:val="000000" w:themeColor="text1"/>
          <w:sz w:val="44"/>
          <w14:textFill>
            <w14:solidFill>
              <w14:schemeClr w14:val="tx1"/>
            </w14:solidFill>
          </w14:textFill>
        </w:rPr>
        <w:t>存储扩容项目</w:t>
      </w:r>
    </w:p>
    <w:p>
      <w:pPr>
        <w:pStyle w:val="2"/>
        <w:tabs>
          <w:tab w:val="left" w:pos="8280"/>
        </w:tabs>
        <w:spacing w:after="0" w:line="360" w:lineRule="auto"/>
        <w:jc w:val="center"/>
        <w:outlineLvl w:val="0"/>
        <w:rPr>
          <w:rFonts w:ascii="黑体" w:eastAsia="黑体"/>
          <w:color w:val="000000" w:themeColor="text1"/>
          <w:sz w:val="44"/>
          <w14:textFill>
            <w14:solidFill>
              <w14:schemeClr w14:val="tx1"/>
            </w14:solidFill>
          </w14:textFill>
        </w:rPr>
      </w:pPr>
      <w:r>
        <w:rPr>
          <w:rFonts w:ascii="黑体" w:eastAsia="黑体"/>
          <w:color w:val="000000" w:themeColor="text1"/>
          <w:sz w:val="44"/>
          <w14:textFill>
            <w14:solidFill>
              <w14:schemeClr w14:val="tx1"/>
            </w14:solidFill>
          </w14:textFill>
        </w:rPr>
        <w:t>招标书</w:t>
      </w:r>
    </w:p>
    <w:p>
      <w:pPr>
        <w:tabs>
          <w:tab w:val="left" w:pos="8280"/>
        </w:tabs>
        <w:spacing w:line="360" w:lineRule="auto"/>
        <w:jc w:val="center"/>
        <w:rPr>
          <w:rFonts w:ascii="宋体"/>
          <w:b/>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rPr>
          <w:color w:val="000000" w:themeColor="text1"/>
          <w:sz w:val="48"/>
          <w14:textFill>
            <w14:solidFill>
              <w14:schemeClr w14:val="tx1"/>
            </w14:solidFill>
          </w14:textFill>
        </w:rPr>
      </w:pPr>
    </w:p>
    <w:p>
      <w:pPr>
        <w:tabs>
          <w:tab w:val="left" w:pos="8280"/>
        </w:tabs>
        <w:spacing w:line="360" w:lineRule="auto"/>
        <w:jc w:val="center"/>
        <w:outlineLvl w:val="0"/>
        <w:rPr>
          <w:rFonts w:ascii="宋体"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江苏昆山农村商业银行股份有限公司</w:t>
      </w:r>
    </w:p>
    <w:p>
      <w:pPr>
        <w:pStyle w:val="9"/>
        <w:tabs>
          <w:tab w:val="left" w:pos="8280"/>
        </w:tabs>
        <w:spacing w:line="360" w:lineRule="auto"/>
        <w:ind w:left="0" w:leftChars="0" w:firstLine="3220" w:firstLineChars="1150"/>
        <w:outlineLvl w:val="0"/>
        <w:rPr>
          <w:rFonts w:eastAsia="仿宋_GB2312"/>
          <w:color w:val="000000" w:themeColor="text1"/>
          <w:szCs w:val="28"/>
          <w14:textFill>
            <w14:solidFill>
              <w14:schemeClr w14:val="tx1"/>
            </w14:solidFill>
          </w14:textFill>
        </w:rPr>
      </w:pPr>
      <w:r>
        <w:rPr>
          <w:rFonts w:hint="eastAsia" w:eastAsia="仿宋_GB2312"/>
          <w:color w:val="000000" w:themeColor="text1"/>
          <w:szCs w:val="28"/>
          <w14:textFill>
            <w14:solidFill>
              <w14:schemeClr w14:val="tx1"/>
            </w14:solidFill>
          </w14:textFill>
        </w:rPr>
        <w:t>2025年06月</w:t>
      </w:r>
    </w:p>
    <w:p>
      <w:pPr>
        <w:spacing w:line="360" w:lineRule="auto"/>
        <w:jc w:val="center"/>
        <w:rPr>
          <w:rFonts w:asci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声</w:t>
      </w:r>
      <w:r>
        <w:rPr>
          <w:rFonts w:hint="eastAsia" w:ascii="黑体" w:eastAsia="黑体"/>
          <w:color w:val="000000" w:themeColor="text1"/>
          <w:sz w:val="32"/>
          <w:szCs w:val="32"/>
          <w14:textFill>
            <w14:solidFill>
              <w14:schemeClr w14:val="tx1"/>
            </w14:solidFill>
          </w14:textFill>
        </w:rPr>
        <w:tab/>
      </w:r>
      <w:r>
        <w:rPr>
          <w:rFonts w:hint="eastAsia" w:ascii="黑体" w:eastAsia="黑体"/>
          <w:color w:val="000000" w:themeColor="text1"/>
          <w:sz w:val="32"/>
          <w:szCs w:val="32"/>
          <w14:textFill>
            <w14:solidFill>
              <w14:schemeClr w14:val="tx1"/>
            </w14:solidFill>
          </w14:textFill>
        </w:rPr>
        <w:tab/>
      </w:r>
      <w:r>
        <w:rPr>
          <w:rFonts w:hint="eastAsia" w:ascii="黑体" w:eastAsia="黑体"/>
          <w:color w:val="000000" w:themeColor="text1"/>
          <w:sz w:val="32"/>
          <w:szCs w:val="32"/>
          <w14:textFill>
            <w14:solidFill>
              <w14:schemeClr w14:val="tx1"/>
            </w14:solidFill>
          </w14:textFill>
        </w:rPr>
        <w:t>明</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本招标文件专用于江苏昆山农村商业银行股份有限公司本次采购</w:t>
      </w:r>
      <w:r>
        <w:rPr>
          <w:rFonts w:hint="eastAsia" w:ascii="宋体" w:hAnsi="宋体" w:eastAsia="仿宋_GB2312" w:cs="Arial"/>
          <w:color w:val="000000" w:themeColor="text1"/>
          <w:sz w:val="28"/>
          <w:u w:val="single"/>
          <w14:textFill>
            <w14:solidFill>
              <w14:schemeClr w14:val="tx1"/>
            </w14:solidFill>
          </w14:textFill>
        </w:rPr>
        <w:t>存储扩容项目</w:t>
      </w:r>
      <w:r>
        <w:rPr>
          <w:rFonts w:hint="eastAsia" w:ascii="仿宋_GB2312" w:eastAsia="仿宋_GB2312"/>
          <w:color w:val="000000" w:themeColor="text1"/>
          <w:sz w:val="28"/>
          <w:szCs w:val="28"/>
          <w14:textFill>
            <w14:solidFill>
              <w14:schemeClr w14:val="tx1"/>
            </w14:solidFill>
          </w14:textFill>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投标函</w:t>
      </w:r>
    </w:p>
    <w:p>
      <w:pPr>
        <w:spacing w:line="48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根据江苏昆山农村商业银行股份有限公司及江苏苏州农村商业银行股份有限公司的业务发展的需求，现就江苏昆山农村商业银行股份有限公司和江苏苏州农村商业银行股份有限公司在</w:t>
      </w:r>
      <w:r>
        <w:rPr>
          <w:rFonts w:hint="eastAsia" w:ascii="宋体" w:hAnsi="宋体" w:eastAsia="仿宋_GB2312" w:cs="Arial"/>
          <w:color w:val="000000" w:themeColor="text1"/>
          <w:sz w:val="28"/>
          <w:u w:val="single"/>
          <w14:textFill>
            <w14:solidFill>
              <w14:schemeClr w14:val="tx1"/>
            </w14:solidFill>
          </w14:textFill>
        </w:rPr>
        <w:t>存储扩容项目</w:t>
      </w:r>
      <w:r>
        <w:rPr>
          <w:rFonts w:hint="eastAsia" w:ascii="仿宋_GB2312" w:eastAsia="仿宋_GB2312"/>
          <w:color w:val="000000" w:themeColor="text1"/>
          <w:sz w:val="28"/>
          <w:szCs w:val="28"/>
          <w14:textFill>
            <w14:solidFill>
              <w14:schemeClr w14:val="tx1"/>
            </w14:solidFill>
          </w14:textFill>
        </w:rPr>
        <w:t>进行联合招标：</w:t>
      </w:r>
    </w:p>
    <w:p>
      <w:pPr>
        <w:spacing w:line="480" w:lineRule="exact"/>
        <w:ind w:firstLine="560" w:firstLineChars="200"/>
        <w:rPr>
          <w:rFonts w:ascii="仿宋_GB2312" w:hAnsi="宋体" w:eastAsia="仿宋_GB2312"/>
          <w:color w:val="000000" w:themeColor="text1"/>
          <w:sz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1、招标</w:t>
      </w:r>
      <w:r>
        <w:rPr>
          <w:rFonts w:hint="eastAsia" w:ascii="仿宋_GB2312" w:hAnsi="宋体" w:eastAsia="仿宋_GB2312"/>
          <w:color w:val="000000" w:themeColor="text1"/>
          <w:sz w:val="28"/>
          <w14:textFill>
            <w14:solidFill>
              <w14:schemeClr w14:val="tx1"/>
            </w14:solidFill>
          </w14:textFill>
        </w:rPr>
        <w:t>编号：</w:t>
      </w:r>
      <w:r>
        <w:rPr>
          <w:rFonts w:ascii="仿宋_GB2312" w:hAnsi="宋体" w:eastAsia="仿宋_GB2312"/>
          <w:color w:val="000000" w:themeColor="text1"/>
          <w:sz w:val="28"/>
          <w14:textFill>
            <w14:solidFill>
              <w14:schemeClr w14:val="tx1"/>
            </w14:solidFill>
          </w14:textFill>
        </w:rPr>
        <w:t>KSRCBZB2025028</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2、招标人：江苏昆山农村商业银行股份有限公司</w:t>
      </w:r>
    </w:p>
    <w:p>
      <w:pPr>
        <w:spacing w:line="480" w:lineRule="exact"/>
        <w:ind w:firstLine="560" w:firstLineChars="200"/>
        <w:jc w:val="left"/>
        <w:rPr>
          <w:rFonts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3、招标内容：昆山农村商业银行</w:t>
      </w:r>
      <w:r>
        <w:rPr>
          <w:rFonts w:hint="eastAsia" w:ascii="宋体" w:hAnsi="宋体" w:eastAsia="仿宋_GB2312" w:cs="Arial"/>
          <w:color w:val="000000" w:themeColor="text1"/>
          <w:sz w:val="28"/>
          <w:u w:val="single"/>
          <w14:textFill>
            <w14:solidFill>
              <w14:schemeClr w14:val="tx1"/>
            </w14:solidFill>
          </w14:textFill>
        </w:rPr>
        <w:t>存储扩容项目</w:t>
      </w:r>
    </w:p>
    <w:p>
      <w:pPr>
        <w:spacing w:line="480" w:lineRule="exact"/>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4、项目实施地点：昆山农商银行花桥数据中心和苏州农商银行行数据中心。</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14:textFill>
            <w14:solidFill>
              <w14:schemeClr w14:val="tx1"/>
            </w14:solidFill>
          </w14:textFill>
        </w:rPr>
        <w:t>、发放标书时间：北京时间2025年06月03日</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6、投标截止时间：北京时间2025年06月26日17：00前将密封的投标文件寄（送）至昆山农村商业银行集中采购中心（以我行收到日戳为准），逾期送达的投标文件将不予接受。</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7、开标时间、地点：另行通知</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8、招标人联系方式：江苏昆山农村商业银行股份有限公司</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地址：江苏省昆山市前进东路828号1510室集中采购中心</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邮编：215301</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集中采购中心联系人：沈康    </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联系电话：0512-57379288</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项目/技术联系人：刘海明 （昆山农商银行）</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联系电话：15151553768</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项目/技术联系人：韩春龙 （苏州农商银行）</w:t>
      </w:r>
    </w:p>
    <w:p>
      <w:pPr>
        <w:spacing w:line="480" w:lineRule="exact"/>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联系电话：18013162568</w:t>
      </w:r>
    </w:p>
    <w:p>
      <w:pPr>
        <w:spacing w:line="520" w:lineRule="exact"/>
        <w:ind w:firstLine="560" w:firstLineChars="200"/>
        <w:rPr>
          <w:rFonts w:ascii="仿宋_GB2312" w:hAnsi="宋体" w:eastAsia="仿宋_GB2312"/>
          <w:color w:val="000000" w:themeColor="text1"/>
          <w:sz w:val="28"/>
          <w14:textFill>
            <w14:solidFill>
              <w14:schemeClr w14:val="tx1"/>
            </w14:solidFill>
          </w14:textFill>
        </w:rPr>
      </w:pPr>
    </w:p>
    <w:p>
      <w:pPr>
        <w:spacing w:line="360" w:lineRule="auto"/>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*标书包装封面请备注项目联系人及联系电话。</w:t>
      </w:r>
    </w:p>
    <w:p>
      <w:pPr>
        <w:pStyle w:val="3"/>
        <w:keepNext w:val="0"/>
        <w:keepLines w:val="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招标内容及要求</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一、基本要求</w:t>
      </w:r>
    </w:p>
    <w:p>
      <w:pPr>
        <w:tabs>
          <w:tab w:val="left" w:pos="8280"/>
        </w:tabs>
        <w:snapToGri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 xml:space="preserve">    1、本标书第二部分“招标内容及要求”都将作为以后项目合同的基本要</w:t>
      </w:r>
      <w:r>
        <w:rPr>
          <w:rFonts w:hint="eastAsia" w:ascii="仿宋_GB2312" w:hAnsi="宋体" w:eastAsia="仿宋_GB2312"/>
          <w:color w:val="000000" w:themeColor="text1"/>
          <w:sz w:val="28"/>
          <w:szCs w:val="28"/>
          <w14:textFill>
            <w14:solidFill>
              <w14:schemeClr w14:val="tx1"/>
            </w14:solidFill>
          </w14:textFill>
        </w:rPr>
        <w:t>求。</w:t>
      </w:r>
    </w:p>
    <w:p>
      <w:pPr>
        <w:tabs>
          <w:tab w:val="left" w:pos="8280"/>
        </w:tabs>
        <w:snapToGri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 xml:space="preserve">    2、向招标方供应的产品必须保证是原厂出厂，提交的产品具有全新的原厂</w:t>
      </w:r>
      <w:r>
        <w:rPr>
          <w:rFonts w:hint="eastAsia" w:ascii="仿宋_GB2312" w:hAnsi="宋体" w:eastAsia="仿宋_GB2312"/>
          <w:color w:val="000000" w:themeColor="text1"/>
          <w:sz w:val="28"/>
          <w:szCs w:val="28"/>
          <w14:textFill>
            <w14:solidFill>
              <w14:schemeClr w14:val="tx1"/>
            </w14:solidFill>
          </w14:textFill>
        </w:rPr>
        <w:t>包装。</w:t>
      </w:r>
    </w:p>
    <w:p>
      <w:pPr>
        <w:tabs>
          <w:tab w:val="left" w:pos="8280"/>
        </w:tabs>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3、如投标产品的部分性能不能完全达到招标方所要求的配置或技术指标的，投标文件对此必须明确标示，否则视为废标。</w:t>
      </w:r>
    </w:p>
    <w:p>
      <w:pPr>
        <w:tabs>
          <w:tab w:val="left" w:pos="8280"/>
        </w:tabs>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4、投标方应保证向招标方提供的产品及其安装的软件与任何第三方发生的专利权、版权和使用权纠纷完全由投标方自行负责而与招标方无关；投标方应承诺对因以上纠纷给招标方造成的损失承担赔偿责任。</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5、投标方必须提供相关技术部署、维护和系统使用文档，如不能提供，投标方必须进行说明。</w:t>
      </w:r>
    </w:p>
    <w:p>
      <w:pPr>
        <w:tabs>
          <w:tab w:val="left" w:pos="8280"/>
        </w:tabs>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6、投标方应承诺对提供产品的缺陷和漏洞免费进行补丁升级，投标方承诺对因产品的缺陷和漏洞给招标方所造成的损失承担赔偿责任。</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二、投标人范围</w:t>
      </w:r>
    </w:p>
    <w:p>
      <w:pPr>
        <w:pStyle w:val="5"/>
        <w:snapToGrid w:val="0"/>
        <w:spacing w:line="360" w:lineRule="auto"/>
        <w:ind w:firstLine="560" w:firstLineChars="200"/>
        <w:jc w:val="left"/>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投标人应符合本标书第三部分招标说明中的相关要求和条件。</w:t>
      </w:r>
    </w:p>
    <w:p>
      <w:pPr>
        <w:snapToGrid w:val="0"/>
        <w:spacing w:line="360" w:lineRule="auto"/>
        <w:outlineLvl w:val="1"/>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三、招标需求</w:t>
      </w:r>
    </w:p>
    <w:p>
      <w:pPr>
        <w:pStyle w:val="5"/>
        <w:snapToGrid w:val="0"/>
        <w:spacing w:line="360" w:lineRule="auto"/>
        <w:ind w:firstLine="560" w:firstLineChars="200"/>
        <w:jc w:val="left"/>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1、本次招标为</w:t>
      </w:r>
      <w:r>
        <w:rPr>
          <w:rFonts w:hint="eastAsia" w:ascii="宋体" w:hAnsi="宋体" w:eastAsia="仿宋_GB2312" w:cs="Arial"/>
          <w:color w:val="000000" w:themeColor="text1"/>
          <w:sz w:val="28"/>
          <w:u w:val="single"/>
          <w14:textFill>
            <w14:solidFill>
              <w14:schemeClr w14:val="tx1"/>
            </w14:solidFill>
          </w14:textFill>
        </w:rPr>
        <w:t>存储扩容采购项目</w:t>
      </w:r>
      <w:r>
        <w:rPr>
          <w:rFonts w:hint="eastAsia" w:ascii="仿宋_GB2312" w:hAnsi="宋体" w:eastAsia="仿宋_GB2312"/>
          <w:snapToGrid w:val="0"/>
          <w:color w:val="000000" w:themeColor="text1"/>
          <w:kern w:val="0"/>
          <w:sz w:val="28"/>
          <w:szCs w:val="28"/>
          <w14:textFill>
            <w14:solidFill>
              <w14:schemeClr w14:val="tx1"/>
            </w14:solidFill>
          </w14:textFill>
        </w:rPr>
        <w:t>招标采购，如下：</w:t>
      </w:r>
    </w:p>
    <w:tbl>
      <w:tblPr>
        <w:tblStyle w:val="15"/>
        <w:tblW w:w="9671" w:type="dxa"/>
        <w:tblInd w:w="-508" w:type="dxa"/>
        <w:tblLayout w:type="fixed"/>
        <w:tblCellMar>
          <w:top w:w="0" w:type="dxa"/>
          <w:left w:w="108" w:type="dxa"/>
          <w:bottom w:w="0" w:type="dxa"/>
          <w:right w:w="108" w:type="dxa"/>
        </w:tblCellMar>
      </w:tblPr>
      <w:tblGrid>
        <w:gridCol w:w="1047"/>
        <w:gridCol w:w="1202"/>
        <w:gridCol w:w="2125"/>
        <w:gridCol w:w="2413"/>
        <w:gridCol w:w="1473"/>
        <w:gridCol w:w="1411"/>
      </w:tblGrid>
      <w:tr>
        <w:tblPrEx>
          <w:tblCellMar>
            <w:top w:w="0" w:type="dxa"/>
            <w:left w:w="108" w:type="dxa"/>
            <w:bottom w:w="0" w:type="dxa"/>
            <w:right w:w="108" w:type="dxa"/>
          </w:tblCellMar>
        </w:tblPrEx>
        <w:trPr>
          <w:trHeight w:val="502"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2"/>
                <w:lang w:bidi="ar"/>
                <w14:textFill>
                  <w14:solidFill>
                    <w14:schemeClr w14:val="tx1"/>
                  </w14:solidFill>
                </w14:textFill>
              </w:rPr>
              <w:t>标段</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2"/>
                <w:lang w:bidi="ar"/>
                <w14:textFill>
                  <w14:solidFill>
                    <w14:schemeClr w14:val="tx1"/>
                  </w14:solidFill>
                </w14:textFill>
              </w:rPr>
              <w:t>农商行</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类型</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0"/>
                <w:lang w:bidi="ar"/>
                <w14:textFill>
                  <w14:solidFill>
                    <w14:schemeClr w14:val="tx1"/>
                  </w14:solidFill>
                </w14:textFill>
              </w:rPr>
              <w:t>配置</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2"/>
                <w:lang w:bidi="ar"/>
                <w14:textFill>
                  <w14:solidFill>
                    <w14:schemeClr w14:val="tx1"/>
                  </w14:solidFill>
                </w14:textFill>
              </w:rPr>
              <w:t>数量（台）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000000" w:themeColor="text1"/>
                <w:kern w:val="0"/>
                <w:sz w:val="22"/>
                <w:lang w:bidi="ar"/>
                <w14:textFill>
                  <w14:solidFill>
                    <w14:schemeClr w14:val="tx1"/>
                  </w14:solidFill>
                </w14:textFill>
              </w:rPr>
              <w:t>厂商</w:t>
            </w:r>
          </w:p>
        </w:tc>
      </w:tr>
      <w:tr>
        <w:tblPrEx>
          <w:tblCellMar>
            <w:top w:w="0" w:type="dxa"/>
            <w:left w:w="108" w:type="dxa"/>
            <w:bottom w:w="0" w:type="dxa"/>
            <w:right w:w="108" w:type="dxa"/>
          </w:tblCellMar>
        </w:tblPrEx>
        <w:trPr>
          <w:trHeight w:val="711"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标段一</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昆山农商银行</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生产对象存储（同城主备）扩容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6台节点，对象存储池可用容量扩容80TB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XSKY</w:t>
            </w:r>
          </w:p>
        </w:tc>
      </w:tr>
      <w:tr>
        <w:tblPrEx>
          <w:tblCellMar>
            <w:top w:w="0" w:type="dxa"/>
            <w:left w:w="108" w:type="dxa"/>
            <w:bottom w:w="0" w:type="dxa"/>
            <w:right w:w="108" w:type="dxa"/>
          </w:tblCellMar>
        </w:tblPrEx>
        <w:trPr>
          <w:trHeight w:val="738"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标段二</w:t>
            </w:r>
          </w:p>
        </w:tc>
        <w:tc>
          <w:tcPr>
            <w:tcW w:w="120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生产NAS文件存储（同城双活）扩容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双活存储可用容量扩容80TB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41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华为</w:t>
            </w:r>
          </w:p>
        </w:tc>
      </w:tr>
      <w:tr>
        <w:tblPrEx>
          <w:tblCellMar>
            <w:top w:w="0" w:type="dxa"/>
            <w:left w:w="108" w:type="dxa"/>
            <w:bottom w:w="0" w:type="dxa"/>
            <w:right w:w="108" w:type="dxa"/>
          </w:tblCellMar>
        </w:tblPrEx>
        <w:trPr>
          <w:trHeight w:val="737"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标段三</w:t>
            </w: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测试集中式存储扩容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单节点存储可用容量扩容60TB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w:t>
            </w:r>
          </w:p>
        </w:tc>
        <w:tc>
          <w:tcPr>
            <w:tcW w:w="141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lang w:bidi="ar"/>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04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标段四</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苏州农商银行</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5500V6存储扩容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存储可用容量扩容≥120TB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41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lang w:bidi="ar"/>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04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120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6800V6存储扩容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存储可用容量扩容≥120TB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41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lang w:bidi="ar"/>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104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对象存储扩容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存储可用容量扩容≥1.6PB</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w:t>
            </w:r>
          </w:p>
        </w:tc>
        <w:tc>
          <w:tcPr>
            <w:tcW w:w="141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lang w:bidi="ar"/>
                <w14:textFill>
                  <w14:solidFill>
                    <w14:schemeClr w14:val="tx1"/>
                  </w14:solidFill>
                </w14:textFill>
              </w:rPr>
            </w:pPr>
          </w:p>
        </w:tc>
      </w:tr>
    </w:tbl>
    <w:p>
      <w:pPr>
        <w:pStyle w:val="5"/>
        <w:snapToGrid w:val="0"/>
        <w:spacing w:line="360" w:lineRule="auto"/>
        <w:ind w:firstLine="560" w:firstLineChars="200"/>
        <w:jc w:val="left"/>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标段二、三、四需要一起投标</w:t>
      </w:r>
    </w:p>
    <w:p>
      <w:pPr>
        <w:snapToGrid w:val="0"/>
        <w:spacing w:line="360" w:lineRule="auto"/>
        <w:ind w:firstLine="560" w:firstLineChars="200"/>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具体要求详见：《附件7：存储扩容采购项目硬件配置参数要求》</w:t>
      </w:r>
    </w:p>
    <w:p>
      <w:pPr>
        <w:pStyle w:val="5"/>
        <w:snapToGrid w:val="0"/>
        <w:spacing w:line="360" w:lineRule="auto"/>
        <w:ind w:firstLine="0"/>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五、报价总则</w:t>
      </w:r>
    </w:p>
    <w:p>
      <w:pPr>
        <w:snapToGrid w:val="0"/>
        <w:spacing w:line="360" w:lineRule="auto"/>
        <w:ind w:firstLine="567"/>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1、投标人对标的物进行报价，根据实际情况选择投某个标段或全部标段, （参照附件4：《投标价格一览表》）;</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2、每个配置的报价必须唯一；</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3、所有报价均应已包含国家规定的所有税费；</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4、付款方式</w:t>
      </w:r>
    </w:p>
    <w:p>
      <w:pPr>
        <w:autoSpaceDE w:val="0"/>
        <w:autoSpaceDN w:val="0"/>
        <w:snapToGrid w:val="0"/>
        <w:spacing w:line="360" w:lineRule="auto"/>
        <w:ind w:firstLine="554" w:firstLineChars="198"/>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标段一至标段三：付款比例：2:7:1，即双方签署本合同后，付20%；收到货物后且验收通过后付70%；余下款项逐年付2%，分五年付清。</w:t>
      </w:r>
    </w:p>
    <w:p>
      <w:pPr>
        <w:autoSpaceDE w:val="0"/>
        <w:autoSpaceDN w:val="0"/>
        <w:snapToGrid w:val="0"/>
        <w:spacing w:line="360" w:lineRule="auto"/>
        <w:ind w:firstLine="554" w:firstLineChars="198"/>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标段四：甲方收到货物并经初验合格的，在乙方提供符合合同约定的增值税专用发票后 30日内，甲方通过银行汇款方式支付合同金额90%的款项到乙方指定的收款账户。合同金额的10%待货物调试完毕验收合格一年后付清。</w:t>
      </w:r>
    </w:p>
    <w:p>
      <w:pPr>
        <w:pStyle w:val="5"/>
        <w:snapToGrid w:val="0"/>
        <w:spacing w:line="360" w:lineRule="auto"/>
        <w:ind w:firstLine="0"/>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六、交付期限要求</w:t>
      </w:r>
    </w:p>
    <w:p>
      <w:pPr>
        <w:snapToGrid w:val="0"/>
        <w:spacing w:line="360" w:lineRule="auto"/>
        <w:ind w:firstLine="567"/>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1、代理商必须于合同签订后</w:t>
      </w:r>
      <w:r>
        <w:rPr>
          <w:rFonts w:hint="eastAsia" w:ascii="仿宋_GB2312" w:hAnsi="宋体" w:eastAsia="仿宋_GB2312"/>
          <w:snapToGrid w:val="0"/>
          <w:color w:val="000000" w:themeColor="text1"/>
          <w:sz w:val="28"/>
          <w:szCs w:val="28"/>
          <w:u w:val="single"/>
          <w14:textFill>
            <w14:solidFill>
              <w14:schemeClr w14:val="tx1"/>
            </w14:solidFill>
          </w14:textFill>
        </w:rPr>
        <w:t>30天</w:t>
      </w:r>
      <w:r>
        <w:rPr>
          <w:rFonts w:hint="eastAsia" w:ascii="仿宋_GB2312" w:hAnsi="宋体" w:eastAsia="仿宋_GB2312"/>
          <w:snapToGrid w:val="0"/>
          <w:color w:val="000000" w:themeColor="text1"/>
          <w:sz w:val="28"/>
          <w:szCs w:val="28"/>
          <w14:textFill>
            <w14:solidFill>
              <w14:schemeClr w14:val="tx1"/>
            </w14:solidFill>
          </w14:textFill>
        </w:rPr>
        <w:t>内将本次采购的全部货物按合同要求送达至指定地点，并提供经甲方确认的最终项目实施方案与实施计划；若乙方未在合同</w:t>
      </w:r>
      <w:r>
        <w:rPr>
          <w:rFonts w:hint="eastAsia" w:ascii="仿宋_GB2312" w:hAnsi="宋体" w:eastAsia="仿宋_GB2312"/>
          <w:color w:val="000000" w:themeColor="text1"/>
          <w:sz w:val="28"/>
          <w:szCs w:val="28"/>
          <w14:textFill>
            <w14:solidFill>
              <w14:schemeClr w14:val="tx1"/>
            </w14:solidFill>
          </w14:textFill>
        </w:rPr>
        <w:t>约定的期限内交货验收并提供实施方案(实施延期)，每延迟一日，应向甲方支付相当于合同总金额</w:t>
      </w:r>
      <w:r>
        <w:rPr>
          <w:rFonts w:hint="eastAsia" w:ascii="仿宋_GB2312" w:hAnsi="宋体" w:eastAsia="仿宋_GB2312"/>
          <w:color w:val="000000" w:themeColor="text1"/>
          <w:sz w:val="28"/>
          <w:szCs w:val="28"/>
          <w:u w:val="single"/>
          <w14:textFill>
            <w14:solidFill>
              <w14:schemeClr w14:val="tx1"/>
            </w14:solidFill>
          </w14:textFill>
        </w:rPr>
        <w:t>0.1%</w:t>
      </w:r>
      <w:r>
        <w:rPr>
          <w:rFonts w:hint="eastAsia" w:ascii="仿宋_GB2312" w:hAnsi="宋体" w:eastAsia="仿宋_GB2312"/>
          <w:color w:val="000000" w:themeColor="text1"/>
          <w:sz w:val="28"/>
          <w:szCs w:val="28"/>
          <w14:textFill>
            <w14:solidFill>
              <w14:schemeClr w14:val="tx1"/>
            </w14:solidFill>
          </w14:textFill>
        </w:rPr>
        <w:t>的违约金；由于乙方原因造成验收期延误超过</w:t>
      </w:r>
      <w:r>
        <w:rPr>
          <w:rFonts w:ascii="仿宋_GB2312" w:hAnsi="宋体" w:eastAsia="仿宋_GB2312"/>
          <w:color w:val="000000" w:themeColor="text1"/>
          <w:sz w:val="28"/>
          <w:szCs w:val="28"/>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天的，甲方有权解除合同，乙方除支付相应的延迟违约金外，还应向甲方返回已支付的采购费用并向甲方支付合同总额</w:t>
      </w:r>
      <w:r>
        <w:rPr>
          <w:rFonts w:hint="eastAsia"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的违约赔偿金。由于甲方的原因推迟验收，如果额外产生费用，所产生的费用由甲方承担;</w:t>
      </w:r>
      <w:r>
        <w:rPr>
          <w:rFonts w:hint="eastAsia" w:ascii="仿宋_GB2312" w:hAnsi="宋体" w:eastAsia="仿宋_GB2312"/>
          <w:snapToGrid w:val="0"/>
          <w:color w:val="000000" w:themeColor="text1"/>
          <w:sz w:val="28"/>
          <w:szCs w:val="28"/>
          <w14:textFill>
            <w14:solidFill>
              <w14:schemeClr w14:val="tx1"/>
            </w14:solidFill>
          </w14:textFill>
        </w:rPr>
        <w:t>货物应保证完好无损，出厂时间不得超过</w:t>
      </w:r>
      <w:r>
        <w:rPr>
          <w:rFonts w:hint="eastAsia" w:ascii="仿宋_GB2312" w:hAnsi="宋体" w:eastAsia="仿宋_GB2312"/>
          <w:snapToGrid w:val="0"/>
          <w:color w:val="000000" w:themeColor="text1"/>
          <w:sz w:val="28"/>
          <w:szCs w:val="28"/>
          <w:u w:val="single"/>
          <w14:textFill>
            <w14:solidFill>
              <w14:schemeClr w14:val="tx1"/>
            </w14:solidFill>
          </w14:textFill>
        </w:rPr>
        <w:t>3</w:t>
      </w:r>
      <w:r>
        <w:rPr>
          <w:rFonts w:hint="eastAsia" w:ascii="仿宋_GB2312" w:hAnsi="宋体" w:eastAsia="仿宋_GB2312"/>
          <w:snapToGrid w:val="0"/>
          <w:color w:val="000000" w:themeColor="text1"/>
          <w:sz w:val="28"/>
          <w:szCs w:val="28"/>
          <w14:textFill>
            <w14:solidFill>
              <w14:schemeClr w14:val="tx1"/>
            </w14:solidFill>
          </w14:textFill>
        </w:rPr>
        <w:t>个月。</w:t>
      </w:r>
    </w:p>
    <w:p>
      <w:pPr>
        <w:pStyle w:val="5"/>
        <w:snapToGrid w:val="0"/>
        <w:spacing w:line="360" w:lineRule="auto"/>
        <w:ind w:firstLine="560" w:firstLineChars="200"/>
        <w:rPr>
          <w:rFonts w:ascii="黑体" w:hAnsi="宋体" w:eastAsia="黑体"/>
          <w:b/>
          <w:snapToGrid w:val="0"/>
          <w:color w:val="000000" w:themeColor="text1"/>
          <w:kern w:val="0"/>
          <w:sz w:val="28"/>
          <w:szCs w:val="28"/>
          <w14:textFill>
            <w14:solidFill>
              <w14:schemeClr w14:val="tx1"/>
            </w14:solidFill>
          </w14:textFill>
        </w:rPr>
      </w:pPr>
      <w:r>
        <w:rPr>
          <w:rFonts w:hint="eastAsia" w:ascii="仿宋_GB2312" w:hAnsi="宋体" w:eastAsia="仿宋_GB2312"/>
          <w:snapToGrid w:val="0"/>
          <w:color w:val="000000" w:themeColor="text1"/>
          <w:kern w:val="0"/>
          <w:sz w:val="28"/>
          <w:szCs w:val="28"/>
          <w14:textFill>
            <w14:solidFill>
              <w14:schemeClr w14:val="tx1"/>
            </w14:solidFill>
          </w14:textFill>
        </w:rPr>
        <w:t>2、若项目现场因其他原因暂时无法按原定计划接纳所供货物，则招标人将会提前15天通知中标人延期交货，此时中标人应按招标人通知中所明确的新的交货期要求安排运输和完成后续的设备安装、测试和调试等服务。</w:t>
      </w:r>
    </w:p>
    <w:p>
      <w:pPr>
        <w:pStyle w:val="5"/>
        <w:snapToGrid w:val="0"/>
        <w:spacing w:line="360" w:lineRule="auto"/>
        <w:ind w:firstLine="0"/>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七、合同要求</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投标方同意按招标方的要求签定相关合同。</w:t>
      </w:r>
    </w:p>
    <w:p>
      <w:pPr>
        <w:pStyle w:val="5"/>
        <w:snapToGrid w:val="0"/>
        <w:spacing w:line="360" w:lineRule="auto"/>
        <w:ind w:firstLine="0"/>
        <w:rPr>
          <w:rFonts w:ascii="黑体" w:hAnsi="宋体" w:eastAsia="黑体"/>
          <w:b/>
          <w:snapToGrid w:val="0"/>
          <w:color w:val="000000" w:themeColor="text1"/>
          <w:kern w:val="0"/>
          <w:sz w:val="28"/>
          <w:szCs w:val="28"/>
          <w14:textFill>
            <w14:solidFill>
              <w14:schemeClr w14:val="tx1"/>
            </w14:solidFill>
          </w14:textFill>
        </w:rPr>
      </w:pPr>
      <w:r>
        <w:rPr>
          <w:rFonts w:hint="eastAsia" w:ascii="黑体" w:hAnsi="宋体" w:eastAsia="黑体"/>
          <w:b/>
          <w:snapToGrid w:val="0"/>
          <w:color w:val="000000" w:themeColor="text1"/>
          <w:kern w:val="0"/>
          <w:sz w:val="28"/>
          <w:szCs w:val="28"/>
          <w14:textFill>
            <w14:solidFill>
              <w14:schemeClr w14:val="tx1"/>
            </w14:solidFill>
          </w14:textFill>
        </w:rPr>
        <w:t>八、服务要求与罚则说明</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1、中标方必须按上述第六条交付期限要求将设备交付至指定地点。</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2、中标方必须提供具备原厂授权认证的、包装完好、符合招标配置要求的设备进行交付。</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3、中标方在设备交付后需提供相应技术人员配合招标方进行验收和上架安装工作。</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如中标方有违法上述服务要求的，招标方有权对其采取以下措施：</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1、情节较轻且事后经整改符合要求的，招标方将对外包服务商年度考核作扣分处理；</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2、情节严重导致招标方项目不能按期正常开展，但事后整改符合要求的，招标方将对外包服务商考核作扣分处理，视情节取消下次或本年度同类服务/产品投标资格；</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3、情节特别严重导致招标方项目不能按期正常开展且事后不配合整改的，招标方将根据合同相应条款进行处理，并将服务商列入外包商黑名单，三年内不得参与我行同类产品/服务投标。</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技术支持违约：在收到甲方技术支持申请后，未立刻提供电话指导的，应向甲方支付相当于合同总金额百分之一的违约金；在本项目验收合格起至五年后原厂维保期满期间，一个月内发生硬件故障导致宕机达到2次或2次以上，或一个月内发生硬件故障达到5次或5次以上，我行每次将从项目尾款中扣除合同总金额的百分之一作为违约金。</w:t>
      </w:r>
    </w:p>
    <w:p>
      <w:pPr>
        <w:snapToGrid w:val="0"/>
        <w:spacing w:line="360" w:lineRule="auto"/>
        <w:ind w:firstLine="2560" w:firstLineChars="800"/>
        <w:rPr>
          <w:rFonts w:ascii="黑体" w:hAnsi="宋体" w:eastAsia="黑体"/>
          <w:color w:val="000000" w:themeColor="text1"/>
          <w:sz w:val="32"/>
          <w:szCs w:val="32"/>
          <w14:textFill>
            <w14:solidFill>
              <w14:schemeClr w14:val="tx1"/>
            </w14:solidFill>
          </w14:textFill>
        </w:rPr>
      </w:pPr>
    </w:p>
    <w:p>
      <w:pPr>
        <w:snapToGrid w:val="0"/>
        <w:spacing w:line="360" w:lineRule="auto"/>
        <w:ind w:firstLine="2560" w:firstLineChars="800"/>
        <w:rPr>
          <w:rFonts w:ascii="黑体" w:hAnsi="宋体" w:eastAsia="黑体"/>
          <w:color w:val="000000" w:themeColor="text1"/>
          <w:sz w:val="32"/>
          <w:szCs w:val="32"/>
          <w14:textFill>
            <w14:solidFill>
              <w14:schemeClr w14:val="tx1"/>
            </w14:solidFill>
          </w14:textFill>
        </w:rPr>
      </w:pPr>
    </w:p>
    <w:p>
      <w:pPr>
        <w:snapToGrid w:val="0"/>
        <w:spacing w:line="360" w:lineRule="auto"/>
        <w:rPr>
          <w:rFonts w:ascii="黑体" w:hAnsi="宋体" w:eastAsia="黑体"/>
          <w:color w:val="000000" w:themeColor="text1"/>
          <w:sz w:val="32"/>
          <w:szCs w:val="32"/>
          <w14:textFill>
            <w14:solidFill>
              <w14:schemeClr w14:val="tx1"/>
            </w14:solidFill>
          </w14:textFill>
        </w:rPr>
      </w:pPr>
    </w:p>
    <w:p>
      <w:pPr>
        <w:snapToGrid w:val="0"/>
        <w:spacing w:line="360" w:lineRule="auto"/>
        <w:rPr>
          <w:rFonts w:ascii="黑体" w:hAnsi="宋体" w:eastAsia="黑体"/>
          <w:color w:val="000000" w:themeColor="text1"/>
          <w:sz w:val="32"/>
          <w:szCs w:val="32"/>
          <w14:textFill>
            <w14:solidFill>
              <w14:schemeClr w14:val="tx1"/>
            </w14:solidFill>
          </w14:textFill>
        </w:rPr>
      </w:pPr>
    </w:p>
    <w:p>
      <w:pPr>
        <w:snapToGrid w:val="0"/>
        <w:spacing w:line="360" w:lineRule="auto"/>
        <w:rPr>
          <w:rFonts w:ascii="黑体" w:hAnsi="宋体" w:eastAsia="黑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黑体" w:hAnsi="宋体" w:eastAsia="黑体"/>
          <w:color w:val="000000" w:themeColor="text1"/>
          <w:sz w:val="32"/>
          <w:szCs w:val="32"/>
          <w14:textFill>
            <w14:solidFill>
              <w14:schemeClr w14:val="tx1"/>
            </w14:solidFill>
          </w14:textFill>
        </w:rPr>
      </w:pPr>
    </w:p>
    <w:p>
      <w:pPr>
        <w:pStyle w:val="3"/>
        <w:keepNext w:val="0"/>
        <w:keepLines w:val="0"/>
        <w:jc w:val="center"/>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第三部分</w:t>
      </w:r>
      <w:r>
        <w:rPr>
          <w:rFonts w:hint="eastAsia" w:ascii="黑体" w:hAnsi="黑体" w:eastAsia="黑体"/>
          <w:snapToGrid w:val="0"/>
          <w:color w:val="000000" w:themeColor="text1"/>
          <w:sz w:val="32"/>
          <w:szCs w:val="32"/>
          <w14:textFill>
            <w14:solidFill>
              <w14:schemeClr w14:val="tx1"/>
            </w14:solidFill>
          </w14:textFill>
        </w:rPr>
        <w:tab/>
      </w:r>
      <w:r>
        <w:rPr>
          <w:rFonts w:hint="eastAsia" w:ascii="黑体" w:hAnsi="黑体" w:eastAsia="黑体"/>
          <w:snapToGrid w:val="0"/>
          <w:color w:val="000000" w:themeColor="text1"/>
          <w:sz w:val="32"/>
          <w:szCs w:val="32"/>
          <w14:textFill>
            <w14:solidFill>
              <w14:schemeClr w14:val="tx1"/>
            </w14:solidFill>
          </w14:textFill>
        </w:rPr>
        <w:t>招标说明</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、总体说明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（一）适用范围</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本招标文件仅适用于江苏昆山农村商业银行股份有限公司（以下简称“昆山农商银行”）采购而进行的公开招标。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（二）定义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1、“招标人”系指组织本次招标的招标机构：昆山农商银行；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2、“投标人”系指遵守招标文件要求并向招标人提交投标文件的法人单位；</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3、“设备（系统）”系指投标人按招标文件规定，须向招标人提供的设备、软件系统、备品备件、工具、手册及其他有关技术资料和材料；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4、“服务”系指招标文件规定投标人须承担的技术服务、运输、安装调试、人员培训、售后服务和其他类似的义务；</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5、“招标文件”系指本文件及其附件，如招标人对招标文件及其附件进行有效的修改或澄清，则该修改和澄清构成招标文件不可分割的一部分；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7、“无效的投标文件”系指属于下列情况之一者，将作为无效处理：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1）投标文件未按招标文件的要求密封；</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 投标文件未盖公章或未经法定代表人（或授权代理人）签字；</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3）投标文件未按招标文件规定的格式、内容和要求填写；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4）在投标文件截止期后送达或是通过电报、电话、电传、传真投标文件；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5）投标文件字迹模糊不清无法辨认的；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6）投标人在投标文件中提供虚假信息的；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7）投标文件未送达指定地点，指定接收人。</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（三）对投标人的要求</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 投标方必须为具有独立企业法人资格，具有合法名称、组织机构、固定的办公场所，注册资本要求不少于500万元人民币（或等值外币），注册时间不少于5年，并具有良好的技术力量、商业信誉和售后服务体系；</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 需提供设备原厂对本次招标的授权函原件；</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 投标方交货时需提供所供货物的保修确认书，保修期由原厂确认；</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  江苏、上海地区之外投标人需在江苏地区有正式的分支机构，能提供7*24小时技术支持服务；；</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 投标方必须具有良好的经济和技术实力，能够按时提交招标人要求的交付件，并能够及时地提供招标人要求的优质服务；</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 投标方必须具有良好的银行资信和商业信誉，没有违法、违约记录，不处于被责令停业，财产被接管、冻结、破产等非正常经营状态；</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 投标方不得联合第三方共同投标，否则取消投标资格，且不允许中标后将本招标进行分包、转包；</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8、 投标方应为增值税一般纳税人，应开具增值税专用发票，不得代开增值税发票；</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9、符合条件需报名的投标人，请在投标截止前五日在昆山农商银行采购管理平台(https://zbcgzx.ksrcb.com:30018/)上完成注册；</w:t>
      </w:r>
    </w:p>
    <w:p>
      <w:pPr>
        <w:snapToGrid w:val="0"/>
        <w:spacing w:line="360" w:lineRule="auto"/>
        <w:ind w:firstLine="420" w:firstLineChars="1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标段四：</w:t>
      </w:r>
      <w:r>
        <w:rPr>
          <w:rFonts w:hint="eastAsia" w:ascii="仿宋_GB2312" w:hAnsi="宋体" w:eastAsia="仿宋_GB2312"/>
          <w:color w:val="000000" w:themeColor="text1"/>
          <w:sz w:val="28"/>
          <w14:textFill>
            <w14:solidFill>
              <w14:schemeClr w14:val="tx1"/>
            </w14:solidFill>
          </w14:textFill>
        </w:rPr>
        <w:t>符合条件的需报名的供应商，可</w:t>
      </w:r>
      <w:r>
        <w:rPr>
          <w:rFonts w:ascii="仿宋_GB2312" w:hAnsi="宋体" w:eastAsia="仿宋_GB2312"/>
          <w:color w:val="000000" w:themeColor="text1"/>
          <w:sz w:val="28"/>
          <w14:textFill>
            <w14:solidFill>
              <w14:schemeClr w14:val="tx1"/>
            </w14:solidFill>
          </w14:textFill>
        </w:rPr>
        <w:t>在苏州农商银行采购管理平台(</w:t>
      </w:r>
      <w:r>
        <w:rPr>
          <w:rFonts w:hint="eastAsia" w:ascii="仿宋_GB2312" w:hAnsi="宋体" w:eastAsia="仿宋_GB2312"/>
          <w:color w:val="000000" w:themeColor="text1"/>
          <w:sz w:val="28"/>
          <w14:textFill>
            <w14:solidFill>
              <w14:schemeClr w14:val="tx1"/>
            </w14:solidFill>
          </w14:textFill>
        </w:rPr>
        <w:t>https://</w:t>
      </w:r>
      <w:r>
        <w:rPr>
          <w:rFonts w:ascii="仿宋_GB2312" w:hAnsi="宋体" w:eastAsia="仿宋_GB2312"/>
          <w:color w:val="000000" w:themeColor="text1"/>
          <w:sz w:val="28"/>
          <w14:textFill>
            <w14:solidFill>
              <w14:schemeClr w14:val="tx1"/>
            </w14:solidFill>
          </w14:textFill>
        </w:rPr>
        <w:t>cggl.szrcb.com)上完成注册，按注册要求提供相关资质文件。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（四）投标费用</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投标人应自行承担与参加投标有关的全部费用，招标人在任何情况下无义务和责任承担上述费用。</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（五）投标保证金</w:t>
      </w:r>
    </w:p>
    <w:p>
      <w:pPr>
        <w:snapToGrid w:val="0"/>
        <w:spacing w:line="360" w:lineRule="auto"/>
        <w:ind w:firstLine="700" w:firstLineChars="250"/>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1、项目投标保证金信息</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sym w:font="Wingdings 2" w:char="00A3"/>
      </w:r>
      <w:r>
        <w:rPr>
          <w:rFonts w:hint="eastAsia" w:ascii="仿宋_GB2312" w:hAnsi="宋体" w:eastAsia="仿宋_GB2312"/>
          <w:color w:val="000000" w:themeColor="text1"/>
          <w:sz w:val="28"/>
          <w14:textFill>
            <w14:solidFill>
              <w14:schemeClr w14:val="tx1"/>
            </w14:solidFill>
          </w14:textFill>
        </w:rPr>
        <w:t>有</w:t>
      </w:r>
      <w:r>
        <w:rPr>
          <w:rFonts w:hint="eastAsia" w:ascii="仿宋_GB2312" w:hAnsi="仿宋" w:eastAsia="仿宋_GB2312"/>
          <w:color w:val="000000" w:themeColor="text1"/>
          <w:sz w:val="28"/>
          <w14:textFill>
            <w14:solidFill>
              <w14:schemeClr w14:val="tx1"/>
            </w14:solidFill>
          </w14:textFill>
        </w:rPr>
        <w:t>投标</w:t>
      </w:r>
      <w:r>
        <w:rPr>
          <w:rFonts w:hint="eastAsia" w:ascii="仿宋_GB2312" w:hAnsi="宋体" w:eastAsia="仿宋_GB2312"/>
          <w:color w:val="000000" w:themeColor="text1"/>
          <w:sz w:val="28"/>
          <w14:textFill>
            <w14:solidFill>
              <w14:schemeClr w14:val="tx1"/>
            </w14:solidFill>
          </w14:textFill>
        </w:rPr>
        <w:t xml:space="preserve">保证金               </w:t>
      </w:r>
      <w:r>
        <w:rPr>
          <w:rFonts w:hint="eastAsia" w:ascii="仿宋_GB2312" w:hAnsi="仿宋" w:eastAsia="仿宋_GB2312"/>
          <w:color w:val="000000" w:themeColor="text1"/>
          <w:sz w:val="28"/>
          <w14:textFill>
            <w14:solidFill>
              <w14:schemeClr w14:val="tx1"/>
            </w14:solidFill>
          </w14:textFill>
        </w:rPr>
        <w:sym w:font="Wingdings 2" w:char="0052"/>
      </w:r>
      <w:r>
        <w:rPr>
          <w:rFonts w:hint="eastAsia" w:ascii="仿宋_GB2312" w:hAnsi="宋体" w:eastAsia="仿宋_GB2312"/>
          <w:color w:val="000000" w:themeColor="text1"/>
          <w:sz w:val="28"/>
          <w14:textFill>
            <w14:solidFill>
              <w14:schemeClr w14:val="tx1"/>
            </w14:solidFill>
          </w14:textFill>
        </w:rPr>
        <w:t>无</w:t>
      </w:r>
      <w:r>
        <w:rPr>
          <w:rFonts w:hint="eastAsia" w:ascii="仿宋_GB2312" w:hAnsi="仿宋" w:eastAsia="仿宋_GB2312"/>
          <w:color w:val="000000" w:themeColor="text1"/>
          <w:sz w:val="28"/>
          <w14:textFill>
            <w14:solidFill>
              <w14:schemeClr w14:val="tx1"/>
            </w14:solidFill>
          </w14:textFill>
        </w:rPr>
        <w:t>投标</w:t>
      </w:r>
      <w:r>
        <w:rPr>
          <w:rFonts w:hint="eastAsia" w:ascii="仿宋_GB2312" w:hAnsi="宋体" w:eastAsia="仿宋_GB2312"/>
          <w:color w:val="000000" w:themeColor="text1"/>
          <w:sz w:val="28"/>
          <w14:textFill>
            <w14:solidFill>
              <w14:schemeClr w14:val="tx1"/>
            </w14:solidFill>
          </w14:textFill>
        </w:rPr>
        <w:t xml:space="preserve">保证金           </w:t>
      </w:r>
    </w:p>
    <w:p>
      <w:pPr>
        <w:snapToGrid w:val="0"/>
        <w:spacing w:line="360" w:lineRule="auto"/>
        <w:ind w:firstLine="840" w:firstLineChars="300"/>
        <w:rPr>
          <w:rFonts w:ascii="仿宋_GB2312" w:hAnsi="宋体" w:eastAsia="仿宋_GB2312"/>
          <w:color w:val="000000" w:themeColor="text1"/>
          <w:sz w:val="28"/>
          <w:u w:val="single"/>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投标保证金金额（小写）：</w:t>
      </w:r>
      <w:r>
        <w:rPr>
          <w:rFonts w:hint="eastAsia" w:ascii="仿宋_GB2312" w:hAnsi="宋体" w:eastAsia="仿宋_GB2312"/>
          <w:color w:val="000000" w:themeColor="text1"/>
          <w:sz w:val="28"/>
          <w:u w:val="single"/>
          <w14:textFill>
            <w14:solidFill>
              <w14:schemeClr w14:val="tx1"/>
            </w14:solidFill>
          </w14:textFill>
        </w:rPr>
        <w:t xml:space="preserve">                   </w:t>
      </w:r>
    </w:p>
    <w:p>
      <w:pPr>
        <w:snapToGrid w:val="0"/>
        <w:spacing w:line="360" w:lineRule="auto"/>
        <w:ind w:firstLine="840" w:firstLineChars="300"/>
        <w:rPr>
          <w:rFonts w:ascii="仿宋_GB2312" w:hAnsi="宋体" w:eastAsia="仿宋_GB2312"/>
          <w:color w:val="000000" w:themeColor="text1"/>
          <w:sz w:val="28"/>
          <w:u w:val="single"/>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              （大写）：</w:t>
      </w:r>
      <w:r>
        <w:rPr>
          <w:rFonts w:hint="eastAsia" w:ascii="仿宋_GB2312" w:hAnsi="宋体" w:eastAsia="仿宋_GB2312"/>
          <w:color w:val="000000" w:themeColor="text1"/>
          <w:sz w:val="28"/>
          <w:u w:val="single"/>
          <w14:textFill>
            <w14:solidFill>
              <w14:schemeClr w14:val="tx1"/>
            </w14:solidFill>
          </w14:textFill>
        </w:rPr>
        <w:t xml:space="preserve">                  </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户名：昆山农商银行投标保证金专户</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账号：3052252018224116010001</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开户行名称：昆山农村商业银行营业部</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行号：314305206650</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2、投标保证金的缴纳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1</w:t>
      </w:r>
      <w:r>
        <w:rPr>
          <w:rFonts w:hint="eastAsia" w:ascii="仿宋_GB2312" w:hAnsi="宋体" w:eastAsia="仿宋_GB2312"/>
          <w:color w:val="000000" w:themeColor="text1"/>
          <w:sz w:val="28"/>
          <w14:textFill>
            <w14:solidFill>
              <w14:schemeClr w14:val="tx1"/>
            </w14:solidFill>
          </w14:textFill>
        </w:rPr>
        <w:t>）投标人应在投标前通过我行指定账户足额缴纳投标保证金，投标人缴纳投标保证金后，及时将回执单电子档发招标人邮箱，以便招标人审核，招标人邮箱：</w:t>
      </w:r>
      <w:r>
        <w:fldChar w:fldCharType="begin"/>
      </w:r>
      <w:r>
        <w:rPr>
          <w:color w:val="000000" w:themeColor="text1"/>
          <w14:textFill>
            <w14:solidFill>
              <w14:schemeClr w14:val="tx1"/>
            </w14:solidFill>
          </w14:textFill>
        </w:rPr>
        <w:instrText xml:space="preserve"> HYPERLINK "mailto:zbcgzx@ksrcb.com" </w:instrText>
      </w:r>
      <w:r>
        <w:fldChar w:fldCharType="separate"/>
      </w:r>
      <w:r>
        <w:rPr>
          <w:rStyle w:val="17"/>
          <w:rFonts w:ascii="仿宋_GB2312" w:hAnsi="宋体" w:eastAsia="仿宋_GB2312"/>
          <w:color w:val="000000" w:themeColor="text1"/>
          <w:sz w:val="28"/>
          <w14:textFill>
            <w14:solidFill>
              <w14:schemeClr w14:val="tx1"/>
            </w14:solidFill>
          </w14:textFill>
        </w:rPr>
        <w:t>zbcgzx@ksrcb.com</w:t>
      </w:r>
      <w:r>
        <w:rPr>
          <w:rStyle w:val="17"/>
          <w:rFonts w:ascii="仿宋_GB2312" w:hAnsi="宋体" w:eastAsia="仿宋_GB2312"/>
          <w:color w:val="000000" w:themeColor="text1"/>
          <w:sz w:val="28"/>
          <w14:textFill>
            <w14:solidFill>
              <w14:schemeClr w14:val="tx1"/>
            </w14:solidFill>
          </w14:textFill>
        </w:rPr>
        <w:fldChar w:fldCharType="end"/>
      </w: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并将该转账凭证单独密封后寄（送）至集中采购中心；</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2</w:t>
      </w:r>
      <w:r>
        <w:rPr>
          <w:rFonts w:hint="eastAsia" w:ascii="仿宋_GB2312" w:hAnsi="宋体" w:eastAsia="仿宋_GB2312"/>
          <w:color w:val="000000" w:themeColor="text1"/>
          <w:sz w:val="28"/>
          <w14:textFill>
            <w14:solidFill>
              <w14:schemeClr w14:val="tx1"/>
            </w14:solidFill>
          </w14:textFill>
        </w:rPr>
        <w:t>）投标保证金需以投标人名义采用银行转账或汇款等方式缴纳，不接受现金或个人账户缴纳保证金。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）投标人在缴纳投标保证金时，需在进帐凭证上注明投标项目编号和名称。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）凡出现投标保证金未到位或未足额缴纳等与招标文件要求不一致的情况，均自动取消投标人参加该项目的投标资格；</w:t>
      </w:r>
    </w:p>
    <w:p>
      <w:pPr>
        <w:snapToGri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、投标保证金的扣划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投标过程中发生以下情形时，予以投标保证金的扣划，并按相关规定处理：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（1）投标人在有效期内发生随意撤回、撤销投标行为的；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2）投标人中标后无正当理由拒签合同的；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3）投标人中标后未按招标人要求足额缴纳履约保证金的；</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4）其他违法违规行为，经查实情况属实的；</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、投标保证金的退还</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（1）招标人如有需要要求中标方缴纳履约保证金的，投标人中标后，在中标人与招标人签订正式合同后，投标人投标保证金转入其履约保证金账户；如投标人中标后投标保证金</w:t>
      </w:r>
      <w:r>
        <w:rPr>
          <w:rFonts w:ascii="仿宋_GB2312" w:hAnsi="宋体" w:eastAsia="仿宋_GB2312"/>
          <w:color w:val="000000" w:themeColor="text1"/>
          <w:sz w:val="28"/>
          <w14:textFill>
            <w14:solidFill>
              <w14:schemeClr w14:val="tx1"/>
            </w14:solidFill>
          </w14:textFill>
        </w:rPr>
        <w:t>不</w:t>
      </w:r>
      <w:r>
        <w:rPr>
          <w:rFonts w:hint="eastAsia" w:ascii="仿宋_GB2312" w:hAnsi="宋体" w:eastAsia="仿宋_GB2312"/>
          <w:color w:val="000000" w:themeColor="text1"/>
          <w:sz w:val="28"/>
          <w14:textFill>
            <w14:solidFill>
              <w14:schemeClr w14:val="tx1"/>
            </w14:solidFill>
          </w14:textFill>
        </w:rPr>
        <w:t>转入其履约保证金账户的，请投标人在投标时书面申明。</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（2）投标人未中标，招标人按照“资金从哪里来，原样回那里去”的原则退还投标人投标保证金。</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（3）投标保证金不计息。</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（六）履约保证金</w:t>
      </w:r>
    </w:p>
    <w:p>
      <w:pPr>
        <w:snapToGrid w:val="0"/>
        <w:spacing w:line="360" w:lineRule="auto"/>
        <w:ind w:firstLine="700" w:firstLineChars="250"/>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1、项目履约保证金信息</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sym w:font="Wingdings 2" w:char="0052"/>
      </w:r>
      <w:r>
        <w:rPr>
          <w:rFonts w:hint="eastAsia" w:ascii="仿宋_GB2312" w:hAnsi="宋体" w:eastAsia="仿宋_GB2312"/>
          <w:color w:val="000000" w:themeColor="text1"/>
          <w:sz w:val="28"/>
          <w14:textFill>
            <w14:solidFill>
              <w14:schemeClr w14:val="tx1"/>
            </w14:solidFill>
          </w14:textFill>
        </w:rPr>
        <w:t>有</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 xml:space="preserve">保证金              </w:t>
      </w:r>
      <w:r>
        <w:rPr>
          <w:rFonts w:hint="eastAsia" w:ascii="仿宋_GB2312" w:hAnsi="仿宋"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无</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 xml:space="preserve">保证金           </w:t>
      </w:r>
    </w:p>
    <w:p>
      <w:pPr>
        <w:snapToGrid w:val="0"/>
        <w:spacing w:line="360" w:lineRule="auto"/>
        <w:ind w:firstLine="42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（1）标段一至标段三：投标人应在接到中标通知后合同签订前，向招标人指定账户缴纳中标金额的10%作为履行合同条款；</w:t>
      </w:r>
    </w:p>
    <w:p>
      <w:pPr>
        <w:snapToGrid w:val="0"/>
        <w:spacing w:line="360" w:lineRule="auto"/>
        <w:ind w:firstLine="420"/>
        <w:rPr>
          <w:rFonts w:ascii="仿宋_GB2312" w:hAnsi="宋体" w:eastAsia="仿宋_GB2312"/>
          <w:color w:val="000000" w:themeColor="text1"/>
          <w:sz w:val="28"/>
          <w:szCs w:val="22"/>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（2）标段四：</w:t>
      </w:r>
      <w:r>
        <w:rPr>
          <w:rFonts w:hint="eastAsia" w:ascii="仿宋_GB2312" w:hAnsi="宋体" w:eastAsia="仿宋_GB2312"/>
          <w:color w:val="000000" w:themeColor="text1"/>
          <w:sz w:val="28"/>
          <w:szCs w:val="22"/>
          <w14:textFill>
            <w14:solidFill>
              <w14:schemeClr w14:val="tx1"/>
            </w14:solidFill>
          </w14:textFill>
        </w:rPr>
        <w:t>成交单位在合同签订前按</w:t>
      </w:r>
      <w:r>
        <w:rPr>
          <w:rFonts w:hint="eastAsia" w:ascii="仿宋_GB2312" w:hAnsi="宋体" w:eastAsia="仿宋_GB2312"/>
          <w:b/>
          <w:bCs/>
          <w:color w:val="000000" w:themeColor="text1"/>
          <w:sz w:val="28"/>
          <w:szCs w:val="22"/>
          <w14:textFill>
            <w14:solidFill>
              <w14:schemeClr w14:val="tx1"/>
            </w14:solidFill>
          </w14:textFill>
        </w:rPr>
        <w:t>标段四</w:t>
      </w:r>
      <w:r>
        <w:rPr>
          <w:rFonts w:hint="eastAsia" w:ascii="仿宋_GB2312" w:hAnsi="宋体" w:eastAsia="仿宋_GB2312"/>
          <w:color w:val="000000" w:themeColor="text1"/>
          <w:sz w:val="28"/>
          <w:szCs w:val="22"/>
          <w14:textFill>
            <w14:solidFill>
              <w14:schemeClr w14:val="tx1"/>
            </w14:solidFill>
          </w14:textFill>
        </w:rPr>
        <w:t>成交金额的10%缴纳履约保证金（按仟取整四舍五入）；履约金在验收合格后进行无息退还。成交单位通过其同名账户转账至以下账户：</w:t>
      </w:r>
    </w:p>
    <w:p>
      <w:pPr>
        <w:snapToGrid w:val="0"/>
        <w:spacing w:line="360" w:lineRule="auto"/>
        <w:ind w:firstLine="840" w:firstLineChars="300"/>
        <w:rPr>
          <w:rFonts w:ascii="仿宋_GB2312" w:hAnsi="宋体" w:eastAsia="仿宋_GB2312"/>
          <w:color w:val="000000" w:themeColor="text1"/>
          <w:sz w:val="28"/>
          <w:szCs w:val="22"/>
          <w14:textFill>
            <w14:solidFill>
              <w14:schemeClr w14:val="tx1"/>
            </w14:solidFill>
          </w14:textFill>
        </w:rPr>
      </w:pPr>
      <w:r>
        <w:rPr>
          <w:rFonts w:hint="eastAsia" w:ascii="仿宋_GB2312" w:hAnsi="宋体" w:eastAsia="仿宋_GB2312"/>
          <w:color w:val="000000" w:themeColor="text1"/>
          <w:sz w:val="28"/>
          <w:szCs w:val="22"/>
          <w14:textFill>
            <w14:solidFill>
              <w14:schemeClr w14:val="tx1"/>
            </w14:solidFill>
          </w14:textFill>
        </w:rPr>
        <w:t>账户名：江苏苏州农村商业银行股份有限公司</w:t>
      </w:r>
    </w:p>
    <w:p>
      <w:pPr>
        <w:snapToGrid w:val="0"/>
        <w:spacing w:line="360" w:lineRule="auto"/>
        <w:ind w:firstLine="840" w:firstLineChars="300"/>
        <w:rPr>
          <w:rFonts w:ascii="仿宋_GB2312" w:hAnsi="宋体" w:eastAsia="仿宋_GB2312"/>
          <w:color w:val="000000" w:themeColor="text1"/>
          <w:sz w:val="28"/>
          <w:szCs w:val="22"/>
          <w14:textFill>
            <w14:solidFill>
              <w14:schemeClr w14:val="tx1"/>
            </w14:solidFill>
          </w14:textFill>
        </w:rPr>
      </w:pPr>
      <w:r>
        <w:rPr>
          <w:rFonts w:hint="eastAsia" w:ascii="仿宋_GB2312" w:hAnsi="宋体" w:eastAsia="仿宋_GB2312"/>
          <w:color w:val="000000" w:themeColor="text1"/>
          <w:sz w:val="28"/>
          <w:szCs w:val="22"/>
          <w14:textFill>
            <w14:solidFill>
              <w14:schemeClr w14:val="tx1"/>
            </w14:solidFill>
          </w14:textFill>
        </w:rPr>
        <w:t>账  号：</w:t>
      </w:r>
      <w:r>
        <w:rPr>
          <w:rFonts w:hint="eastAsia" w:ascii="仿宋_GB2312" w:hAnsi="宋体" w:eastAsia="仿宋_GB2312"/>
          <w:color w:val="000000" w:themeColor="text1"/>
          <w:sz w:val="28"/>
          <w:szCs w:val="22"/>
          <w:lang w:val="zh-CN"/>
          <w14:textFill>
            <w14:solidFill>
              <w14:schemeClr w14:val="tx1"/>
            </w14:solidFill>
          </w14:textFill>
        </w:rPr>
        <w:t>0706678011120101296838</w:t>
      </w:r>
    </w:p>
    <w:p>
      <w:pPr>
        <w:snapToGrid w:val="0"/>
        <w:spacing w:line="360" w:lineRule="auto"/>
        <w:ind w:firstLine="840" w:firstLineChars="300"/>
        <w:rPr>
          <w:rFonts w:ascii="仿宋_GB2312" w:hAnsi="宋体" w:eastAsia="仿宋_GB2312"/>
          <w:color w:val="000000" w:themeColor="text1"/>
          <w:sz w:val="28"/>
          <w:szCs w:val="22"/>
          <w14:textFill>
            <w14:solidFill>
              <w14:schemeClr w14:val="tx1"/>
            </w14:solidFill>
          </w14:textFill>
        </w:rPr>
      </w:pPr>
      <w:r>
        <w:rPr>
          <w:rFonts w:hint="eastAsia" w:ascii="仿宋_GB2312" w:hAnsi="宋体" w:eastAsia="仿宋_GB2312"/>
          <w:color w:val="000000" w:themeColor="text1"/>
          <w:sz w:val="28"/>
          <w:szCs w:val="22"/>
          <w14:textFill>
            <w14:solidFill>
              <w14:schemeClr w14:val="tx1"/>
            </w14:solidFill>
          </w14:textFill>
        </w:rPr>
        <w:t>开户行：苏州农村商业银行营业部</w:t>
      </w:r>
    </w:p>
    <w:p>
      <w:pPr>
        <w:snapToGrid w:val="0"/>
        <w:spacing w:line="360" w:lineRule="auto"/>
        <w:ind w:firstLine="723" w:firstLineChars="3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保证金附言请注明：采购编号及项目名称（采购编号：LX202503131259 项目名称：2025年度集中存储采购项目）</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保证金的缴纳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保证金需以投标人名义采用银行转账或汇款等方式缴纳，不接受现金或个人账户缴纳保证金。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（2）投标人在缴纳</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保证金时，需在进帐凭证上注明投标项目编号和名称。</w:t>
      </w:r>
    </w:p>
    <w:p>
      <w:pPr>
        <w:snapToGri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3</w:t>
      </w:r>
      <w:r>
        <w:rPr>
          <w:rFonts w:hint="eastAsia" w:ascii="仿宋_GB2312" w:hAnsi="宋体" w:eastAsia="仿宋_GB2312"/>
          <w:color w:val="000000" w:themeColor="text1"/>
          <w:sz w:val="28"/>
          <w14:textFill>
            <w14:solidFill>
              <w14:schemeClr w14:val="tx1"/>
            </w14:solidFill>
          </w14:textFill>
        </w:rPr>
        <w:t>、</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保证金的扣划</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当合同执行过程中发生违反合同规定或违约行为时，应扣划投标人缴纳的履约保证金。</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4</w:t>
      </w:r>
      <w:r>
        <w:rPr>
          <w:rFonts w:hint="eastAsia" w:ascii="仿宋_GB2312" w:hAnsi="宋体" w:eastAsia="仿宋_GB2312"/>
          <w:color w:val="000000" w:themeColor="text1"/>
          <w:sz w:val="28"/>
          <w14:textFill>
            <w14:solidFill>
              <w14:schemeClr w14:val="tx1"/>
            </w14:solidFill>
          </w14:textFill>
        </w:rPr>
        <w:t>、</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保证金的退还</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（1）项目结项后满足退还标准且资料齐全；</w:t>
      </w:r>
    </w:p>
    <w:p>
      <w:pPr>
        <w:snapToGrid w:val="0"/>
        <w:spacing w:line="360" w:lineRule="auto"/>
        <w:ind w:firstLine="57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w:t>
      </w:r>
      <w:r>
        <w:rPr>
          <w:rFonts w:hint="eastAsia" w:ascii="仿宋_GB2312" w:hAnsi="仿宋" w:eastAsia="仿宋_GB2312"/>
          <w:color w:val="000000" w:themeColor="text1"/>
          <w:sz w:val="28"/>
          <w14:textFill>
            <w14:solidFill>
              <w14:schemeClr w14:val="tx1"/>
            </w14:solidFill>
          </w14:textFill>
        </w:rPr>
        <w:t>履约</w:t>
      </w:r>
      <w:r>
        <w:rPr>
          <w:rFonts w:hint="eastAsia" w:ascii="仿宋_GB2312" w:hAnsi="宋体" w:eastAsia="仿宋_GB2312"/>
          <w:color w:val="000000" w:themeColor="text1"/>
          <w:sz w:val="28"/>
          <w14:textFill>
            <w14:solidFill>
              <w14:schemeClr w14:val="tx1"/>
            </w14:solidFill>
          </w14:textFill>
        </w:rPr>
        <w:t>保证金不计息。</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（七）招标文件的解释及咨询</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本招标文件的解释权属招标人，对本次招标有任何询问，请与昆山农商银行本次招标联系人联系。</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二、招标文件说明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（一）是否限价招标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标段一至标段三：</w:t>
      </w:r>
    </w:p>
    <w:p>
      <w:pPr>
        <w:snapToGrid w:val="0"/>
        <w:spacing w:line="360" w:lineRule="auto"/>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 xml:space="preserve"> 是        最高限价</w:t>
      </w:r>
      <w:r>
        <w:rPr>
          <w:rFonts w:ascii="仿宋_GB2312" w:hAnsi="宋体" w:eastAsia="仿宋_GB2312"/>
          <w:color w:val="000000" w:themeColor="text1"/>
          <w:sz w:val="28"/>
          <w:u w:val="single"/>
          <w14:textFill>
            <w14:solidFill>
              <w14:schemeClr w14:val="tx1"/>
            </w14:solidFill>
          </w14:textFill>
        </w:rPr>
        <w:t xml:space="preserve">           </w:t>
      </w:r>
      <w:r>
        <w:rPr>
          <w:rFonts w:hint="eastAsia" w:ascii="仿宋_GB2312" w:hAnsi="宋体" w:eastAsia="仿宋_GB2312"/>
          <w:color w:val="000000" w:themeColor="text1"/>
          <w:sz w:val="28"/>
          <w14:textFill>
            <w14:solidFill>
              <w14:schemeClr w14:val="tx1"/>
            </w14:solidFill>
          </w14:textFill>
        </w:rPr>
        <w:t>（元）</w:t>
      </w:r>
      <w:r>
        <w:rPr>
          <w:rFonts w:ascii="仿宋_GB2312" w:hAnsi="宋体" w:eastAsia="仿宋_GB2312"/>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sym w:font="Wingdings 2" w:char="0052"/>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标段四：</w:t>
      </w:r>
    </w:p>
    <w:p>
      <w:pPr>
        <w:snapToGrid w:val="0"/>
        <w:spacing w:line="360" w:lineRule="auto"/>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 xml:space="preserve"> 是        最高限价</w:t>
      </w:r>
      <w:r>
        <w:rPr>
          <w:rFonts w:ascii="仿宋_GB2312" w:hAnsi="宋体" w:eastAsia="仿宋_GB2312"/>
          <w:color w:val="000000" w:themeColor="text1"/>
          <w:sz w:val="28"/>
          <w:u w:val="single"/>
          <w14:textFill>
            <w14:solidFill>
              <w14:schemeClr w14:val="tx1"/>
            </w14:solidFill>
          </w14:textFill>
        </w:rPr>
        <w:t xml:space="preserve"> </w:t>
      </w:r>
      <w:r>
        <w:rPr>
          <w:rFonts w:hint="eastAsia" w:ascii="仿宋_GB2312" w:hAnsi="宋体" w:eastAsia="仿宋_GB2312"/>
          <w:color w:val="000000" w:themeColor="text1"/>
          <w:sz w:val="28"/>
          <w:u w:val="single"/>
          <w14:textFill>
            <w14:solidFill>
              <w14:schemeClr w14:val="tx1"/>
            </w14:solidFill>
          </w14:textFill>
        </w:rPr>
        <w:t>6,400,000.00</w:t>
      </w:r>
      <w:r>
        <w:rPr>
          <w:rFonts w:ascii="仿宋_GB2312" w:hAnsi="宋体" w:eastAsia="仿宋_GB2312"/>
          <w:color w:val="000000" w:themeColor="text1"/>
          <w:sz w:val="28"/>
          <w:u w:val="single"/>
          <w14:textFill>
            <w14:solidFill>
              <w14:schemeClr w14:val="tx1"/>
            </w14:solidFill>
          </w14:textFill>
        </w:rPr>
        <w:t xml:space="preserve"> </w:t>
      </w:r>
      <w:r>
        <w:rPr>
          <w:rFonts w:hint="eastAsia" w:ascii="仿宋_GB2312" w:hAnsi="宋体" w:eastAsia="仿宋_GB2312"/>
          <w:color w:val="000000" w:themeColor="text1"/>
          <w:sz w:val="28"/>
          <w14:textFill>
            <w14:solidFill>
              <w14:schemeClr w14:val="tx1"/>
            </w14:solidFill>
          </w14:textFill>
        </w:rPr>
        <w:t>（元）</w:t>
      </w:r>
      <w:r>
        <w:rPr>
          <w:rFonts w:ascii="仿宋_GB2312" w:hAnsi="宋体" w:eastAsia="仿宋_GB2312"/>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w:t>
      </w:r>
      <w:r>
        <w:rPr>
          <w:rFonts w:ascii="仿宋_GB2312" w:hAnsi="宋体" w:eastAsia="仿宋_GB2312"/>
          <w:color w:val="000000" w:themeColor="text1"/>
          <w:sz w:val="28"/>
          <w14:textFill>
            <w14:solidFill>
              <w14:schemeClr w14:val="tx1"/>
            </w14:solidFill>
          </w14:textFill>
        </w:rPr>
        <w:t xml:space="preserve"> </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否</w:t>
      </w:r>
    </w:p>
    <w:p>
      <w:pPr>
        <w:pStyle w:val="2"/>
        <w:snapToGrid w:val="0"/>
        <w:spacing w:after="0"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同时标段四具体限价如下：</w:t>
      </w:r>
    </w:p>
    <w:tbl>
      <w:tblPr>
        <w:tblStyle w:val="15"/>
        <w:tblW w:w="7069" w:type="dxa"/>
        <w:jc w:val="center"/>
        <w:tblLayout w:type="fixed"/>
        <w:tblCellMar>
          <w:top w:w="0" w:type="dxa"/>
          <w:left w:w="0" w:type="dxa"/>
          <w:bottom w:w="0" w:type="dxa"/>
          <w:right w:w="0" w:type="dxa"/>
        </w:tblCellMar>
      </w:tblPr>
      <w:tblGrid>
        <w:gridCol w:w="960"/>
        <w:gridCol w:w="2520"/>
        <w:gridCol w:w="960"/>
        <w:gridCol w:w="2629"/>
      </w:tblGrid>
      <w:tr>
        <w:tblPrEx>
          <w:tblCellMar>
            <w:top w:w="0" w:type="dxa"/>
            <w:left w:w="0" w:type="dxa"/>
            <w:bottom w:w="0" w:type="dxa"/>
            <w:right w:w="0" w:type="dxa"/>
          </w:tblCellMar>
        </w:tblPrEx>
        <w:trPr>
          <w:trHeight w:val="5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lang w:bidi="ar"/>
                <w14:textFill>
                  <w14:solidFill>
                    <w14:schemeClr w14:val="tx1"/>
                  </w14:solidFill>
                </w14:textFill>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lang w:bidi="ar"/>
                <w14:textFill>
                  <w14:solidFill>
                    <w14:schemeClr w14:val="tx1"/>
                  </w14:solidFill>
                </w14:textFill>
              </w:rPr>
              <w:t>物品名称</w:t>
            </w:r>
          </w:p>
        </w:tc>
        <w:tc>
          <w:tcPr>
            <w:tcW w:w="96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lang w:bidi="ar"/>
                <w14:textFill>
                  <w14:solidFill>
                    <w14:schemeClr w14:val="tx1"/>
                  </w14:solidFill>
                </w14:textFill>
              </w:rPr>
              <w:t>数量（台）</w:t>
            </w:r>
          </w:p>
        </w:tc>
        <w:tc>
          <w:tcPr>
            <w:tcW w:w="26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lang w:bidi="ar"/>
                <w14:textFill>
                  <w14:solidFill>
                    <w14:schemeClr w14:val="tx1"/>
                  </w14:solidFill>
                </w14:textFill>
              </w:rPr>
              <w:t>单项限价（万）</w:t>
            </w: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5500V6存储扩容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180</w:t>
            </w: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6800V6存储扩容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280</w:t>
            </w: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对象存储扩容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kern w:val="0"/>
                <w:sz w:val="20"/>
                <w:lang w:bidi="ar"/>
                <w14:textFill>
                  <w14:solidFill>
                    <w14:schemeClr w14:val="tx1"/>
                  </w14:solidFill>
                </w14:textFill>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180</w:t>
            </w:r>
          </w:p>
        </w:tc>
      </w:tr>
      <w:tr>
        <w:tblPrEx>
          <w:tblCellMar>
            <w:top w:w="0" w:type="dxa"/>
            <w:left w:w="0" w:type="dxa"/>
            <w:bottom w:w="0" w:type="dxa"/>
            <w:right w:w="0" w:type="dxa"/>
          </w:tblCellMar>
        </w:tblPrEx>
        <w:trPr>
          <w:trHeight w:val="288" w:hRule="atLeast"/>
          <w:jc w:val="center"/>
        </w:trPr>
        <w:tc>
          <w:tcPr>
            <w:tcW w:w="4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总限价：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640</w:t>
            </w:r>
          </w:p>
        </w:tc>
      </w:tr>
      <w:tr>
        <w:tblPrEx>
          <w:tblCellMar>
            <w:top w:w="0" w:type="dxa"/>
            <w:left w:w="0" w:type="dxa"/>
            <w:bottom w:w="0" w:type="dxa"/>
            <w:right w:w="0" w:type="dxa"/>
          </w:tblCellMar>
        </w:tblPrEx>
        <w:trPr>
          <w:trHeight w:val="288" w:hRule="atLeast"/>
          <w:jc w:val="center"/>
        </w:trPr>
        <w:tc>
          <w:tcPr>
            <w:tcW w:w="70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备注：单项报价及本标段总报价均不得超过限价，否则报价无效。</w:t>
            </w:r>
          </w:p>
        </w:tc>
      </w:tr>
    </w:tbl>
    <w:p>
      <w:pPr>
        <w:snapToGrid w:val="0"/>
        <w:spacing w:line="360" w:lineRule="auto"/>
        <w:rPr>
          <w:color w:val="000000" w:themeColor="text1"/>
          <w14:textFill>
            <w14:solidFill>
              <w14:schemeClr w14:val="tx1"/>
            </w14:solidFill>
          </w14:textFill>
        </w:rPr>
      </w:pP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（二）项目实施时间、地点和方式</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实施时间</w:t>
      </w:r>
      <w:r>
        <w:rPr>
          <w:rFonts w:ascii="仿宋_GB2312" w:hAnsi="宋体" w:eastAsia="仿宋_GB2312"/>
          <w:color w:val="000000" w:themeColor="text1"/>
          <w:sz w:val="28"/>
          <w14:textFill>
            <w14:solidFill>
              <w14:schemeClr w14:val="tx1"/>
            </w14:solidFill>
          </w14:textFill>
        </w:rPr>
        <w:t>：</w:t>
      </w:r>
      <w:r>
        <w:rPr>
          <w:rFonts w:hint="eastAsia" w:ascii="仿宋_GB2312" w:hAnsi="宋体" w:eastAsia="仿宋_GB2312"/>
          <w:color w:val="000000" w:themeColor="text1"/>
          <w:sz w:val="28"/>
          <w14:textFill>
            <w14:solidFill>
              <w14:schemeClr w14:val="tx1"/>
            </w14:solidFill>
          </w14:textFill>
        </w:rPr>
        <w:t>自合同签订之日起2个月内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实施地点：昆山农商行花桥数据中心或苏州农商行数据中心</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w:t>
      </w:r>
      <w:r>
        <w:rPr>
          <w:rFonts w:ascii="仿宋_GB2312" w:hAnsi="宋体" w:eastAsia="仿宋_GB2312"/>
          <w:color w:val="000000" w:themeColor="text1"/>
          <w:sz w:val="28"/>
          <w14:textFill>
            <w14:solidFill>
              <w14:schemeClr w14:val="tx1"/>
            </w14:solidFill>
          </w14:textFill>
        </w:rPr>
        <w:t>方式：</w:t>
      </w:r>
      <w:r>
        <w:rPr>
          <w:rFonts w:hint="eastAsia" w:ascii="仿宋_GB2312" w:hAnsi="宋体" w:eastAsia="仿宋_GB2312"/>
          <w:color w:val="000000" w:themeColor="text1"/>
          <w:sz w:val="28"/>
          <w14:textFill>
            <w14:solidFill>
              <w14:schemeClr w14:val="tx1"/>
            </w14:solidFill>
          </w14:textFill>
        </w:rPr>
        <w:t>现场原厂工程师或</w:t>
      </w:r>
      <w:r>
        <w:rPr>
          <w:rFonts w:ascii="仿宋_GB2312" w:hAnsi="宋体" w:eastAsia="仿宋_GB2312"/>
          <w:color w:val="000000" w:themeColor="text1"/>
          <w:sz w:val="28"/>
          <w14:textFill>
            <w14:solidFill>
              <w14:schemeClr w14:val="tx1"/>
            </w14:solidFill>
          </w14:textFill>
        </w:rPr>
        <w:t>代理商负责</w:t>
      </w:r>
      <w:r>
        <w:rPr>
          <w:rFonts w:hint="eastAsia" w:ascii="仿宋_GB2312" w:hAnsi="宋体" w:eastAsia="仿宋_GB2312"/>
          <w:color w:val="000000" w:themeColor="text1"/>
          <w:sz w:val="28"/>
          <w14:textFill>
            <w14:solidFill>
              <w14:schemeClr w14:val="tx1"/>
            </w14:solidFill>
          </w14:textFill>
        </w:rPr>
        <w:t>项目</w:t>
      </w:r>
      <w:r>
        <w:rPr>
          <w:rFonts w:ascii="仿宋_GB2312" w:hAnsi="宋体" w:eastAsia="仿宋_GB2312"/>
          <w:color w:val="000000" w:themeColor="text1"/>
          <w:sz w:val="28"/>
          <w14:textFill>
            <w14:solidFill>
              <w14:schemeClr w14:val="tx1"/>
            </w14:solidFill>
          </w14:textFill>
        </w:rPr>
        <w:t>实施</w:t>
      </w:r>
      <w:r>
        <w:rPr>
          <w:rFonts w:hint="eastAsia" w:ascii="仿宋_GB2312" w:hAnsi="宋体" w:eastAsia="仿宋_GB2312"/>
          <w:color w:val="000000" w:themeColor="text1"/>
          <w:sz w:val="28"/>
          <w14:textFill>
            <w14:solidFill>
              <w14:schemeClr w14:val="tx1"/>
            </w14:solidFill>
          </w14:textFill>
        </w:rPr>
        <w:t>（设备</w:t>
      </w:r>
      <w:r>
        <w:rPr>
          <w:rFonts w:ascii="仿宋_GB2312" w:hAnsi="宋体" w:eastAsia="仿宋_GB2312"/>
          <w:color w:val="000000" w:themeColor="text1"/>
          <w:sz w:val="28"/>
          <w14:textFill>
            <w14:solidFill>
              <w14:schemeClr w14:val="tx1"/>
            </w14:solidFill>
          </w14:textFill>
        </w:rPr>
        <w:t>上架、</w:t>
      </w:r>
      <w:r>
        <w:rPr>
          <w:rFonts w:hint="eastAsia" w:ascii="仿宋_GB2312" w:hAnsi="宋体" w:eastAsia="仿宋_GB2312"/>
          <w:color w:val="000000" w:themeColor="text1"/>
          <w:sz w:val="28"/>
          <w14:textFill>
            <w14:solidFill>
              <w14:schemeClr w14:val="tx1"/>
            </w14:solidFill>
          </w14:textFill>
        </w:rPr>
        <w:t>安装</w:t>
      </w:r>
      <w:r>
        <w:rPr>
          <w:rFonts w:ascii="仿宋_GB2312" w:hAnsi="宋体" w:eastAsia="仿宋_GB2312"/>
          <w:color w:val="000000" w:themeColor="text1"/>
          <w:sz w:val="28"/>
          <w14:textFill>
            <w14:solidFill>
              <w14:schemeClr w14:val="tx1"/>
            </w14:solidFill>
          </w14:textFill>
        </w:rPr>
        <w:t>OS</w:t>
      </w:r>
      <w:r>
        <w:rPr>
          <w:rFonts w:hint="eastAsia" w:ascii="仿宋_GB2312" w:hAnsi="宋体" w:eastAsia="仿宋_GB2312"/>
          <w:color w:val="000000" w:themeColor="text1"/>
          <w:sz w:val="28"/>
          <w14:textFill>
            <w14:solidFill>
              <w14:schemeClr w14:val="tx1"/>
            </w14:solidFill>
          </w14:textFill>
        </w:rPr>
        <w:t>及</w:t>
      </w:r>
      <w:r>
        <w:rPr>
          <w:rFonts w:ascii="仿宋_GB2312" w:hAnsi="宋体" w:eastAsia="仿宋_GB2312"/>
          <w:color w:val="000000" w:themeColor="text1"/>
          <w:sz w:val="28"/>
          <w14:textFill>
            <w14:solidFill>
              <w14:schemeClr w14:val="tx1"/>
            </w14:solidFill>
          </w14:textFill>
        </w:rPr>
        <w:t>理线</w:t>
      </w:r>
      <w:r>
        <w:rPr>
          <w:rFonts w:hint="eastAsia" w:ascii="仿宋_GB2312" w:hAnsi="宋体" w:eastAsia="仿宋_GB2312"/>
          <w:color w:val="000000" w:themeColor="text1"/>
          <w:sz w:val="28"/>
          <w14:textFill>
            <w14:solidFill>
              <w14:schemeClr w14:val="tx1"/>
            </w14:solidFill>
          </w14:textFill>
        </w:rPr>
        <w:t>标签</w:t>
      </w:r>
      <w:r>
        <w:rPr>
          <w:rFonts w:ascii="仿宋_GB2312" w:hAnsi="宋体" w:eastAsia="仿宋_GB2312"/>
          <w:color w:val="000000" w:themeColor="text1"/>
          <w:sz w:val="28"/>
          <w14:textFill>
            <w14:solidFill>
              <w14:schemeClr w14:val="tx1"/>
            </w14:solidFill>
          </w14:textFill>
        </w:rPr>
        <w:t>等工作</w:t>
      </w:r>
      <w:r>
        <w:rPr>
          <w:rFonts w:hint="eastAsia" w:ascii="仿宋_GB2312" w:hAnsi="宋体" w:eastAsia="仿宋_GB2312"/>
          <w:color w:val="000000" w:themeColor="text1"/>
          <w:sz w:val="28"/>
          <w14:textFill>
            <w14:solidFill>
              <w14:schemeClr w14:val="tx1"/>
            </w14:solidFill>
          </w14:textFill>
        </w:rPr>
        <w:t>）</w:t>
      </w:r>
    </w:p>
    <w:p>
      <w:pPr>
        <w:snapToGrid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（三）合同款的支付条件、时间和支付方式</w:t>
      </w:r>
    </w:p>
    <w:p>
      <w:pPr>
        <w:autoSpaceDE w:val="0"/>
        <w:autoSpaceDN w:val="0"/>
        <w:snapToGrid w:val="0"/>
        <w:spacing w:line="360" w:lineRule="auto"/>
        <w:ind w:firstLine="554" w:firstLineChars="198"/>
        <w:jc w:val="lef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标段一至标段三：</w:t>
      </w:r>
    </w:p>
    <w:p>
      <w:pPr>
        <w:autoSpaceDE w:val="0"/>
        <w:autoSpaceDN w:val="0"/>
        <w:snapToGrid w:val="0"/>
        <w:spacing w:line="360" w:lineRule="auto"/>
        <w:ind w:firstLine="554" w:firstLineChars="198"/>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付款方式：2:7:1，即双方签署本合同后，付20%；收到货物后且验收通过后付70%；余下款项逐年付2%，分五年付清。</w:t>
      </w:r>
    </w:p>
    <w:p>
      <w:pPr>
        <w:autoSpaceDE w:val="0"/>
        <w:autoSpaceDN w:val="0"/>
        <w:snapToGrid w:val="0"/>
        <w:spacing w:line="360" w:lineRule="auto"/>
        <w:ind w:firstLine="554" w:firstLineChars="198"/>
        <w:jc w:val="left"/>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标段四：</w:t>
      </w:r>
    </w:p>
    <w:p>
      <w:pPr>
        <w:autoSpaceDE w:val="0"/>
        <w:autoSpaceDN w:val="0"/>
        <w:snapToGrid w:val="0"/>
        <w:spacing w:line="360" w:lineRule="auto"/>
        <w:ind w:firstLine="554" w:firstLineChars="198"/>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甲方收到货物并经初验合格的，在乙方提供符合合同约定的增值税专用发票后 30日内，甲方通过银行汇款方式支付合同金额90%的款项到乙方指定的收款账户。合同金额的10%待货物调试完毕验收合格一年后付清。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（四）评标方法、评标标准</w:t>
      </w:r>
    </w:p>
    <w:p>
      <w:pPr>
        <w:snapToGrid w:val="0"/>
        <w:spacing w:line="360" w:lineRule="auto"/>
        <w:ind w:firstLine="560" w:firstLineChars="200"/>
        <w:rPr>
          <w:color w:val="000000" w:themeColor="text1"/>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最低评标价法，以供应商对每个标段物品的最低有效总报价确定该物品的中标候选人。</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（五）拟签订的合同文本</w:t>
      </w:r>
    </w:p>
    <w:p>
      <w:pPr>
        <w:snapToGrid w:val="0"/>
        <w:spacing w:line="360" w:lineRule="auto"/>
        <w:ind w:firstLine="840" w:firstLineChars="3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详见第四部分附件</w:t>
      </w:r>
      <w:r>
        <w:rPr>
          <w:rFonts w:ascii="仿宋_GB2312" w:hAnsi="宋体" w:eastAsia="仿宋_GB2312"/>
          <w:color w:val="000000" w:themeColor="text1"/>
          <w:sz w:val="28"/>
          <w14:textFill>
            <w14:solidFill>
              <w14:schemeClr w14:val="tx1"/>
            </w14:solidFill>
          </w14:textFill>
        </w:rPr>
        <w:t>5</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（六）其他说明</w:t>
      </w:r>
    </w:p>
    <w:p>
      <w:pPr>
        <w:snapToGrid w:val="0"/>
        <w:spacing w:line="360" w:lineRule="auto"/>
        <w:ind w:firstLine="980" w:firstLineChars="3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无</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三、投标文件说明</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（一）要求</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1、投标人应仔细阅读招标文件的所有内容，按招标文件的要求提供投标文件，并保证所提供的全部资料的真实性，以使其投标对招标文件作出实质性响应，否则其投标可能被拒绝；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2、除非有特殊要求，招标文件不单独提供招标设备（系统）或服务使用地的自然环境、气候条件、公用设施等情况，投标人被视为熟悉上述情况。</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（二）投标文件的组成</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投标文件应包括但不限于下列所列文件：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1、法定代表人身份证明或法定代表人授权委托书（法定代表人参加投标，不用此委托书）。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必须按照本招标文件第四部分附件的格式要求制作，未经招标人书面同意，该格式不允许作任何修改。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3、投标价格一览表（须另装，详见“投标文件的签署及规定”）</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应包括投标报价、维护承诺、其他重要补充事项等内容。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4、服务内容描述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投标人必须对“招标项目要求”逐个或分块地作出实质性响应，其响应应与招标文件内容采用相同的顺序，对每个需求的响应必须遵循如下规则：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1）重复该需求；</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2）用“是/否”来表明该需求是否被满足；</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3）简要描述如何满足该需求，如果该响应在投标文件其他部分有详述，可在该处简单应答，但必须给出确切的位置索引；</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4）解释投标文件或投标方案与招标项目需求之间的偏差，用数量来表示的需求，必须用确切的数量单位来响应。</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5、项目实施计划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应根据对项目需求的理解，提出详细、切实可行的项目实施计划及方案。</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6、售后服务计划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应说明售后服务的内容、形式、收费标准；维护单位名称、地点、人员；服务响应时间等，并应包含免费维护期及期外的售后服务计划。</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7、投标人情况简介</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应包含投标人基本情况与背景资料、业务经营情况、最近三年类似相关项目实施情况、及投标人最新的经过审计的财务报表、相关内控制度及连续性方案等。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8、投标人资格证明文件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1）投标人营业执照复印件；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2）若分公司参加投标的，需总公司的正式授权书（即签订合同只与有法人资格的公司签订）；</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3）生产厂商授权函；</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4）其他相关资格证明文件。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9、供应商反腐败/反贿赂承诺书</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必须按照本招标文件第四部分附件6的格式要求制作，未经招标人书面同意，该格式不允许作任何修改。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10、其他</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1）投标方实施其它银行此产品案例的合同复印件或加盖单位公章的产品定单；</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2）投标人自愿提供的其他全部文件；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3）优惠条款的说明等。</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（三）投标文件的签署及规定</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准备一份正本、二份副本、一份电子档，正副本及电子档均不含报价单，另装一份密封投标报价单和一份投标保证金回执单（报价单与保证金回执分装）。在每一份投标文件上要明确注明“正本”、“副本”、“电子档”、“报价单”、“保证金回执单”字样，若正本和副本有差异以正本为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 xml:space="preserve">2、投标文件正本、副本、报价单须统一用A4纸打印装订并由投标人法定代表人或授权代理人在正本封面上签章处签字并加盖公章、骑缝章； </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3、投标文件须标注页码，封面后的第一页为标书的目录，整本标书须标注统一的页码，成功案例合同等复印件可以手工填上统一的页码；</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4、除投标人对错漏处作必要修改外，投标文件中不许有加行、涂抹或改写。如有修改错漏处，必须由投标人法定代表人或授权代理人签字并加盖公章。</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四、投标文件的递交</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（一）投标文件的密封和递交</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应将投标文件的正、副本、报价单和电子档、保证金回执单分别用非透明文件袋密封，在封签处加盖公章，并标明投标人名称、正本（或副本、报价单、电子档、回执单）招标编号、投标产品名称及项目联系人和联系电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2、每一密封袋上注明“于开标前不准启封”的字样；</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3、投标价格表及其它各种承诺均须有法定代表人（或其委托的全权代表人）的签字、日期并加盖公章。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（二）投标文件的修改和撤回</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1、投标人在提交投标文件后可对其投标文件进行补充、修改或撤回，但招标人须在投标截止时间之前收到该补充、修改或撤回的书面通知，该通知须经投标人的法定代表人或授权代理人签字并加盖公章；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2、投标人对投标文件进行补充、修改的书面材料或撤回的通知应按本招标文件规定进行编写、密封、标注和递送，并注明“补充/修改投标文件”或“撤回投标”字样；</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3、投标截止时间以后不得对投标文件进行修改或补充。</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五、开标和评标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（一）开标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此次招标采用：本行评标专家组进行现场开标、评标。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（二）评标因素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1、招标人根据具体招标项目分类对每一个投标条件进行比较。对其内容进行分析比较：</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1）投标价格；</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2）投标方整体实力及成功案例总数；</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3）投标方技术方案、成功案例分析及产品特制设计；</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4）投标方技术实力（研发人员、售后服务能力）；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5）投标方的资信情况和履约能力；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6）投标方提供的其他优惠条件。</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（三）投标文件的审查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1、开标后，招标人将组织审查投标文件是否完整，是否有计算错误，文件是否恰当地签署；</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2、在对投标文件进行详细评估之前，招标人将依据投标人提供的资格证明文件审查投标人的财务、技术和生产能力。如果确定投标人无能力提供设备（系统）和技术支持，其投标将被拒绝；</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3、招标人将确定每一投标是否对招标文件的要求作出了实质性的响应，而没有明显的偏离或保留；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4、招标人判断投标文件的响应性仅基于投标文件本身而不靠外部证据；</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5、招标人将拒绝被确定为非实质性响应的投标，投标人不能通过修正或撤销不符之处而使其投标成为实质性响应的投标。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（四）投标文件的澄清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2、澄清应是书面的，并由法定代表人或其授权代理人签字；</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3、投标人的澄清文件是投标文件的组成部分，并取代投标文件中被澄清的部分；</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4、投标文件的澄清不得对投标内容进行实质性修改。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（五）评标工作</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1、招标人将按照公开、公平、公正的原则对待所有投标方；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 评标是招标工作的重要环节，评标工作在招标人内独立进行；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3、招标人不承诺报价最低者为中标者；</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4、在投标、开标期间，投标人不得向招标人询问情况，不得进行旨在影响评标结果的活动，招标人保留对投标人进行疑问咨询的权力；</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5、在投标、评标过程中，如有投标人联合故意抬高报价或其他不正当行为，招标人有权中止投标或评标；</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6、江苏昆山农村商业银行股份有限公司保留对本次招标的最终解释权。</w:t>
      </w:r>
    </w:p>
    <w:p>
      <w:pPr>
        <w:pStyle w:val="4"/>
        <w:keepNext w:val="0"/>
        <w:keepLines w:val="0"/>
        <w:snapToGrid w:val="0"/>
        <w:spacing w:before="0" w:after="0"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六、中标与签署合同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（一）定标原则</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招标人不承诺向投标方披露招标过程中任何细节，包括中标或落标原因。</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（二）中标通知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1.定标后，招标人将发出中标通知；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2.对落标的投标人不再另行发出落标通知；</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3.中标通知将作为招标人与中标人签订合同的依据之一。</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（三）签订合同</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1、招标人将按照招标文件和投标人的投标文件与中标人签订书面合同，签订合同之前，双方需对合同的具体细节进行商谈。</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2、招标人对有关内容有权作出必要的细化和补充，但有关细化和补充不得背离招标文件和投标文件的实质性内容。</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3、招标文件、中标方的投标文件及其澄清文件等，均为签订合同的依据。</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4、中标方接受在项目上线验收完成后招标方才开始付款的条件，在中标方提供的免费维护期满一个月后，系统稳定运行并经使用方认可的，招标方付清合同尾款。</w:t>
      </w:r>
    </w:p>
    <w:p>
      <w:pPr>
        <w:snapToGrid w:val="0"/>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5、投标人同意按招标人的要求签定相关合同，</w:t>
      </w:r>
      <w:r>
        <w:rPr>
          <w:rFonts w:hint="eastAsia" w:ascii="仿宋_GB2312" w:hAnsi="宋体" w:eastAsia="仿宋_GB2312" w:cs="仿宋_GB2312"/>
          <w:color w:val="000000" w:themeColor="text1"/>
          <w:sz w:val="28"/>
          <w:szCs w:val="28"/>
          <w14:textFill>
            <w14:solidFill>
              <w14:schemeClr w14:val="tx1"/>
            </w14:solidFill>
          </w14:textFill>
        </w:rPr>
        <w:t>具体内容以实际签订的合同内容为准。</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keepNext w:val="0"/>
        <w:keepLines w:val="0"/>
        <w:spacing w:before="0" w:after="0"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投标文件格式</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附件1：《投标书》</w:t>
      </w:r>
    </w:p>
    <w:p>
      <w:pPr>
        <w:pStyle w:val="8"/>
        <w:adjustRightInd w:val="0"/>
        <w:spacing w:line="360" w:lineRule="auto"/>
        <w:jc w:val="center"/>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w:t>
      </w:r>
      <w:r>
        <w:rPr>
          <w:rFonts w:hint="eastAsia" w:ascii="仿宋_GB2312" w:hAnsi="宋体" w:eastAsia="仿宋_GB2312"/>
          <w:snapToGrid w:val="0"/>
          <w:color w:val="000000" w:themeColor="text1"/>
          <w:sz w:val="28"/>
          <w:szCs w:val="28"/>
          <w14:textFill>
            <w14:solidFill>
              <w14:schemeClr w14:val="tx1"/>
            </w14:solidFill>
          </w14:textFill>
        </w:rPr>
        <w:tab/>
      </w:r>
      <w:r>
        <w:rPr>
          <w:rFonts w:ascii="仿宋_GB2312" w:hAnsi="宋体" w:eastAsia="仿宋_GB2312"/>
          <w:snapToGrid w:val="0"/>
          <w:color w:val="000000" w:themeColor="text1"/>
          <w:sz w:val="28"/>
          <w:szCs w:val="28"/>
          <w14:textFill>
            <w14:solidFill>
              <w14:schemeClr w14:val="tx1"/>
            </w14:solidFill>
          </w14:textFill>
        </w:rPr>
        <w:t>标</w:t>
      </w:r>
      <w:r>
        <w:rPr>
          <w:rFonts w:hint="eastAsia" w:ascii="仿宋_GB2312" w:hAnsi="宋体" w:eastAsia="仿宋_GB2312"/>
          <w:snapToGrid w:val="0"/>
          <w:color w:val="000000" w:themeColor="text1"/>
          <w:sz w:val="28"/>
          <w:szCs w:val="28"/>
          <w14:textFill>
            <w14:solidFill>
              <w14:schemeClr w14:val="tx1"/>
            </w14:solidFill>
          </w14:textFill>
        </w:rPr>
        <w:tab/>
      </w:r>
      <w:r>
        <w:rPr>
          <w:rFonts w:ascii="仿宋_GB2312" w:hAnsi="宋体" w:eastAsia="仿宋_GB2312"/>
          <w:snapToGrid w:val="0"/>
          <w:color w:val="000000" w:themeColor="text1"/>
          <w:sz w:val="28"/>
          <w:szCs w:val="28"/>
          <w14:textFill>
            <w14:solidFill>
              <w14:schemeClr w14:val="tx1"/>
            </w14:solidFill>
          </w14:textFill>
        </w:rPr>
        <w:t>书</w:t>
      </w:r>
    </w:p>
    <w:p>
      <w:pPr>
        <w:pStyle w:val="8"/>
        <w:adjustRightInd w:val="0"/>
        <w:spacing w:line="360" w:lineRule="auto"/>
        <w:rPr>
          <w:rFonts w:ascii="仿宋_GB2312" w:hAnsi="宋体" w:eastAsia="仿宋_GB2312"/>
          <w:b/>
          <w:snapToGrid w:val="0"/>
          <w:color w:val="000000" w:themeColor="text1"/>
          <w:sz w:val="28"/>
          <w:szCs w:val="28"/>
          <w14:textFill>
            <w14:solidFill>
              <w14:schemeClr w14:val="tx1"/>
            </w14:solidFill>
          </w14:textFill>
        </w:rPr>
      </w:pPr>
    </w:p>
    <w:p>
      <w:pPr>
        <w:pStyle w:val="8"/>
        <w:adjustRightInd w:val="0"/>
        <w:spacing w:line="360" w:lineRule="auto"/>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致：江苏</w:t>
      </w:r>
      <w:r>
        <w:rPr>
          <w:rFonts w:hint="eastAsia" w:ascii="仿宋_GB2312" w:hAnsi="宋体" w:eastAsia="仿宋_GB2312"/>
          <w:color w:val="000000" w:themeColor="text1"/>
          <w:sz w:val="28"/>
          <w14:textFill>
            <w14:solidFill>
              <w14:schemeClr w14:val="tx1"/>
            </w14:solidFill>
          </w14:textFill>
        </w:rPr>
        <w:t>昆山</w:t>
      </w:r>
      <w:r>
        <w:rPr>
          <w:rFonts w:ascii="仿宋_GB2312" w:hAnsi="宋体" w:eastAsia="仿宋_GB2312"/>
          <w:color w:val="000000" w:themeColor="text1"/>
          <w:sz w:val="28"/>
          <w14:textFill>
            <w14:solidFill>
              <w14:schemeClr w14:val="tx1"/>
            </w14:solidFill>
          </w14:textFill>
        </w:rPr>
        <w:t>农村商业银行股份有限公司</w:t>
      </w:r>
    </w:p>
    <w:p>
      <w:pPr>
        <w:autoSpaceDE w:val="0"/>
        <w:autoSpaceDN w:val="0"/>
        <w:adjustRightInd w:val="0"/>
        <w:spacing w:line="360" w:lineRule="auto"/>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根据贵方       招标书，投标人              （投标人名称）提供相关文件并做出以下承诺：</w:t>
      </w:r>
    </w:p>
    <w:p>
      <w:pPr>
        <w:numPr>
          <w:ilvl w:val="0"/>
          <w:numId w:val="1"/>
        </w:numPr>
        <w:autoSpaceDE w:val="0"/>
        <w:autoSpaceDN w:val="0"/>
        <w:adjustRightInd w:val="0"/>
        <w:spacing w:line="360" w:lineRule="auto"/>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招标文件规定的全部文件正本一份，副本三份，电子文档一份、报价单两份。</w:t>
      </w:r>
    </w:p>
    <w:p>
      <w:pPr>
        <w:autoSpaceDE w:val="0"/>
        <w:autoSpaceDN w:val="0"/>
        <w:adjustRightInd w:val="0"/>
        <w:spacing w:line="360" w:lineRule="auto"/>
        <w:ind w:firstLine="560" w:firstLineChars="200"/>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二、投标人同意如下：</w:t>
      </w:r>
    </w:p>
    <w:p>
      <w:pPr>
        <w:adjustRightIn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1．投标人完全接受招标文件中的内容，并将按招标文件的规定履行义务，按相关法律法规履行投标人的全部责任；</w:t>
      </w:r>
    </w:p>
    <w:p>
      <w:pPr>
        <w:adjustRightIn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2.投标人己详细审查全部招标文件，包括修改文件以及全部参考资料和有关附件，无其他不明事项；</w:t>
      </w:r>
    </w:p>
    <w:p>
      <w:pPr>
        <w:adjustRightIn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3.投标人同意招标人要求的相关数据或资料，完全理解招标人在招标文件中确定的评标原则和程序，理解贵方不一定要接受最低报价的投标。</w:t>
      </w:r>
    </w:p>
    <w:p>
      <w:pPr>
        <w:adjustRightInd w:val="0"/>
        <w:spacing w:line="360" w:lineRule="auto"/>
        <w:ind w:firstLine="700" w:firstLineChars="25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三、投标方保证投标文件中所有关于投标资格的文件，证明陈述均是真实的、准确的。若有违背，投标方愿意承担由此而产生的一切后果。</w:t>
      </w:r>
    </w:p>
    <w:p>
      <w:pPr>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与本投标有关的一切正式信函请使用以下地址：</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地址：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邮编：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电话：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传真：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投标人法定代表人姓名、职务（印刷体）：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投标人名称：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单位公章：                       </w:t>
      </w:r>
    </w:p>
    <w:p>
      <w:pPr>
        <w:pStyle w:val="8"/>
        <w:adjustRightInd w:val="0"/>
        <w:spacing w:line="360" w:lineRule="auto"/>
        <w:ind w:firstLine="624"/>
        <w:rPr>
          <w:rFonts w:ascii="仿宋_GB2312" w:hAnsi="宋体" w:eastAsia="仿宋_GB2312"/>
          <w:color w:val="000000" w:themeColor="text1"/>
          <w:sz w:val="28"/>
          <w14:textFill>
            <w14:solidFill>
              <w14:schemeClr w14:val="tx1"/>
            </w14:solidFill>
          </w14:textFill>
        </w:rPr>
      </w:pPr>
      <w:r>
        <w:rPr>
          <w:rFonts w:ascii="仿宋_GB2312" w:hAnsi="宋体" w:eastAsia="仿宋_GB2312"/>
          <w:color w:val="000000" w:themeColor="text1"/>
          <w:sz w:val="28"/>
          <w14:textFill>
            <w14:solidFill>
              <w14:schemeClr w14:val="tx1"/>
            </w14:solidFill>
          </w14:textFill>
        </w:rPr>
        <w:t xml:space="preserve">法定代表人或授权代理人签字：                    </w:t>
      </w:r>
    </w:p>
    <w:p>
      <w:pPr>
        <w:autoSpaceDE w:val="0"/>
        <w:autoSpaceDN w:val="0"/>
        <w:adjustRightInd w:val="0"/>
        <w:spacing w:line="360" w:lineRule="auto"/>
        <w:ind w:firstLine="624"/>
        <w:jc w:val="left"/>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日期：      年     月     日</w:t>
      </w:r>
    </w:p>
    <w:p>
      <w:pPr>
        <w:snapToGrid w:val="0"/>
        <w:spacing w:line="360" w:lineRule="auto"/>
        <w:outlineLvl w:val="1"/>
        <w:rPr>
          <w:rFonts w:ascii="仿宋_GB2312" w:hAnsi="宋体" w:eastAsia="仿宋_GB2312"/>
          <w:color w:val="000000" w:themeColor="text1"/>
          <w:sz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附件2：《投标人情况简介》</w:t>
      </w:r>
    </w:p>
    <w:p>
      <w:pPr>
        <w:pStyle w:val="8"/>
        <w:adjustRightInd w:val="0"/>
        <w:spacing w:line="360" w:lineRule="auto"/>
        <w:jc w:val="center"/>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投标人情况简介</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1.名称和概况</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投标人名称：</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地址：邮编：</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传真／电话：</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成立日期或注册日期：</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法定代表人或主要负责人姓名：</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2．财务数据</w:t>
      </w:r>
    </w:p>
    <w:p>
      <w:pPr>
        <w:pStyle w:val="8"/>
        <w:adjustRightInd w:val="0"/>
        <w:spacing w:line="360" w:lineRule="auto"/>
        <w:rPr>
          <w:rFonts w:ascii="仿宋_GB2312" w:hAnsi="宋体" w:eastAsia="仿宋_GB2312"/>
          <w:snapToGrid w:val="0"/>
          <w:color w:val="000000" w:themeColor="text1"/>
          <w:sz w:val="28"/>
          <w:szCs w:val="28"/>
          <w:u w:val="single"/>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注册资本：</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3．业绩或服务的情况</w:t>
      </w:r>
    </w:p>
    <w:p>
      <w:pPr>
        <w:pStyle w:val="8"/>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 xml:space="preserve">年至今国内外主要用户的名称和地址： </w:t>
      </w:r>
    </w:p>
    <w:p>
      <w:pPr>
        <w:pStyle w:val="8"/>
        <w:tabs>
          <w:tab w:val="left" w:pos="360"/>
        </w:tabs>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本次投标或服务在国内金融行业的应用情况（如有的话）：</w:t>
      </w:r>
    </w:p>
    <w:p>
      <w:pPr>
        <w:pStyle w:val="8"/>
        <w:tabs>
          <w:tab w:val="left" w:pos="0"/>
        </w:tabs>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4.年至今投标人是否受到过监管机关的处罚？是否有重大涉诉法律纠纷？如有，请列明原因及相关情况。</w:t>
      </w:r>
    </w:p>
    <w:p>
      <w:pPr>
        <w:pStyle w:val="8"/>
        <w:tabs>
          <w:tab w:val="left" w:pos="360"/>
        </w:tabs>
        <w:adjustRightInd w:val="0"/>
        <w:spacing w:line="360" w:lineRule="auto"/>
        <w:rPr>
          <w:rFonts w:ascii="仿宋_GB2312" w:hAnsi="宋体" w:eastAsia="仿宋_GB2312"/>
          <w:snapToGrid w:val="0"/>
          <w:color w:val="000000" w:themeColor="text1"/>
          <w:sz w:val="28"/>
          <w:szCs w:val="28"/>
          <w:u w:val="single"/>
          <w14:textFill>
            <w14:solidFill>
              <w14:schemeClr w14:val="tx1"/>
            </w14:solidFill>
          </w14:textFill>
        </w:rPr>
      </w:pPr>
      <w:r>
        <w:rPr>
          <w:rFonts w:ascii="仿宋_GB2312" w:hAnsi="宋体" w:eastAsia="仿宋_GB2312"/>
          <w:snapToGrid w:val="0"/>
          <w:color w:val="000000" w:themeColor="text1"/>
          <w:sz w:val="28"/>
          <w:szCs w:val="28"/>
          <w14:textFill>
            <w14:solidFill>
              <w14:schemeClr w14:val="tx1"/>
            </w14:solidFill>
          </w14:textFill>
        </w:rPr>
        <w:t>5.所属集团（如有的话）：</w:t>
      </w:r>
    </w:p>
    <w:p>
      <w:pPr>
        <w:pStyle w:val="8"/>
        <w:tabs>
          <w:tab w:val="left" w:pos="360"/>
        </w:tabs>
        <w:adjustRightInd w:val="0"/>
        <w:spacing w:line="360" w:lineRule="auto"/>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6.其它情况</w:t>
      </w:r>
      <w:r>
        <w:rPr>
          <w:rFonts w:ascii="仿宋_GB2312" w:hAnsi="宋体" w:eastAsia="仿宋_GB2312"/>
          <w:snapToGrid w:val="0"/>
          <w:color w:val="000000" w:themeColor="text1"/>
          <w:sz w:val="28"/>
          <w:szCs w:val="28"/>
          <w14:textFill>
            <w14:solidFill>
              <w14:schemeClr w14:val="tx1"/>
            </w14:solidFill>
          </w14:textFill>
        </w:rPr>
        <w:t>（组织、机构、技术力量、参与本产品的实施人员情况等）</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附件3：《法定代表人委托书》</w:t>
      </w:r>
    </w:p>
    <w:p>
      <w:pPr>
        <w:tabs>
          <w:tab w:val="left" w:pos="8280"/>
        </w:tabs>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14:textFill>
            <w14:solidFill>
              <w14:schemeClr w14:val="tx1"/>
            </w14:solidFill>
          </w14:textFill>
        </w:rPr>
        <w:t>江苏昆山农村商业银行股份有限公司</w:t>
      </w:r>
      <w:r>
        <w:rPr>
          <w:rFonts w:hint="eastAsia" w:ascii="仿宋_GB2312" w:eastAsia="仿宋_GB2312"/>
          <w:color w:val="000000" w:themeColor="text1"/>
          <w:sz w:val="28"/>
          <w:szCs w:val="28"/>
          <w14:textFill>
            <w14:solidFill>
              <w14:schemeClr w14:val="tx1"/>
            </w14:solidFill>
          </w14:textFill>
        </w:rPr>
        <w:t>：</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兹委托</w:t>
      </w:r>
      <w:r>
        <w:rPr>
          <w:rFonts w:hint="eastAsia" w:ascii="仿宋_GB2312" w:eastAsia="仿宋_GB2312"/>
          <w:color w:val="000000" w:themeColor="text1"/>
          <w:sz w:val="28"/>
          <w:szCs w:val="28"/>
          <w:u w:val="single"/>
          <w14:textFill>
            <w14:solidFill>
              <w14:schemeClr w14:val="tx1"/>
            </w14:solidFill>
          </w14:textFill>
        </w:rPr>
        <w:t xml:space="preserve">         (代理人姓名)</w:t>
      </w:r>
      <w:r>
        <w:rPr>
          <w:rFonts w:hint="eastAsia" w:ascii="仿宋_GB2312" w:eastAsia="仿宋_GB2312"/>
          <w:color w:val="000000" w:themeColor="text1"/>
          <w:sz w:val="28"/>
          <w:szCs w:val="28"/>
          <w14:textFill>
            <w14:solidFill>
              <w14:schemeClr w14:val="tx1"/>
            </w14:solidFill>
          </w14:textFill>
        </w:rPr>
        <w:t>参加贵单位组织的招标活动，全权代表我单位处理投标的有关事宜。</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附全权代表情况：</w:t>
      </w:r>
    </w:p>
    <w:p>
      <w:pPr>
        <w:tabs>
          <w:tab w:val="left" w:pos="8280"/>
        </w:tabs>
        <w:spacing w:line="360" w:lineRule="auto"/>
        <w:ind w:firstLine="480"/>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姓名： 性别：年龄：职务：</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身份证号码：</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详细通讯地址： </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电话：传真：</w:t>
      </w:r>
    </w:p>
    <w:p>
      <w:pPr>
        <w:tabs>
          <w:tab w:val="left" w:pos="8280"/>
        </w:tabs>
        <w:spacing w:line="360" w:lineRule="auto"/>
        <w:ind w:firstLine="48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邮政编码：</w:t>
      </w:r>
    </w:p>
    <w:p>
      <w:pPr>
        <w:tabs>
          <w:tab w:val="left" w:pos="8280"/>
        </w:tabs>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单位名称（公章）                        法定代表人（签字）</w:t>
      </w:r>
    </w:p>
    <w:p>
      <w:pPr>
        <w:tabs>
          <w:tab w:val="left" w:pos="8280"/>
        </w:tabs>
        <w:spacing w:line="360" w:lineRule="auto"/>
        <w:ind w:firstLine="57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年   月   日                         年   月    日     </w:t>
      </w:r>
    </w:p>
    <w:p>
      <w:pPr>
        <w:tabs>
          <w:tab w:val="left" w:pos="8280"/>
        </w:tabs>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（说明：法定代表人参加投标，不用此委托书）</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eastAsia="仿宋_GB2312"/>
          <w:b/>
          <w:color w:val="000000" w:themeColor="text1"/>
          <w:sz w:val="30"/>
          <w:szCs w:val="30"/>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附件4：《投标价格一览表》</w:t>
      </w:r>
      <w:r>
        <w:rPr>
          <w:rFonts w:hint="eastAsia" w:ascii="仿宋" w:hAnsi="仿宋" w:eastAsia="仿宋"/>
          <w:color w:val="000000" w:themeColor="text1"/>
          <w:sz w:val="28"/>
          <w:szCs w:val="28"/>
          <w14:textFill>
            <w14:solidFill>
              <w14:schemeClr w14:val="tx1"/>
            </w14:solidFill>
          </w14:textFill>
        </w:rPr>
        <w:t xml:space="preserve"> </w:t>
      </w:r>
    </w:p>
    <w:p>
      <w:pPr>
        <w:jc w:val="center"/>
        <w:rPr>
          <w:rFonts w:ascii="仿宋_GB2312" w:hAnsi="仿宋" w:eastAsia="仿宋_GB2312"/>
          <w:b/>
          <w:color w:val="000000" w:themeColor="text1"/>
          <w:sz w:val="32"/>
          <w:szCs w:val="28"/>
          <w14:textFill>
            <w14:solidFill>
              <w14:schemeClr w14:val="tx1"/>
            </w14:solidFill>
          </w14:textFill>
        </w:rPr>
      </w:pPr>
      <w:r>
        <w:rPr>
          <w:rFonts w:hint="eastAsia" w:ascii="仿宋_GB2312" w:hAnsi="仿宋" w:eastAsia="仿宋_GB2312"/>
          <w:b/>
          <w:color w:val="000000" w:themeColor="text1"/>
          <w:sz w:val="32"/>
          <w:szCs w:val="28"/>
          <w14:textFill>
            <w14:solidFill>
              <w14:schemeClr w14:val="tx1"/>
            </w14:solidFill>
          </w14:textFill>
        </w:rPr>
        <w:t>投标价格一览表</w:t>
      </w:r>
    </w:p>
    <w:p>
      <w:pPr>
        <w:spacing w:line="360" w:lineRule="auto"/>
        <w:rPr>
          <w:rFonts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1、投标单位名称：</w:t>
      </w:r>
      <w:r>
        <w:rPr>
          <w:rFonts w:hint="eastAsia" w:ascii="仿宋_GB2312" w:hAnsi="宋体" w:eastAsia="仿宋_GB2312"/>
          <w:color w:val="000000" w:themeColor="text1"/>
          <w:sz w:val="28"/>
          <w:szCs w:val="28"/>
          <w:u w:val="single"/>
          <w14:textFill>
            <w14:solidFill>
              <w14:schemeClr w14:val="tx1"/>
            </w14:solidFill>
          </w14:textFill>
        </w:rPr>
        <w:t xml:space="preserve">                                  </w:t>
      </w:r>
    </w:p>
    <w:p>
      <w:pPr>
        <w:spacing w:line="360" w:lineRule="auto"/>
        <w:rPr>
          <w:rFonts w:ascii="仿宋_GB2312" w:eastAsia="仿宋_GB2312"/>
          <w:b/>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2、投标项目名称：</w:t>
      </w:r>
      <w:r>
        <w:rPr>
          <w:rFonts w:hint="eastAsia" w:ascii="仿宋_GB2312" w:eastAsia="仿宋_GB2312"/>
          <w:color w:val="000000" w:themeColor="text1"/>
          <w:sz w:val="28"/>
          <w:szCs w:val="28"/>
          <w:u w:val="single"/>
          <w14:textFill>
            <w14:solidFill>
              <w14:schemeClr w14:val="tx1"/>
            </w14:solidFill>
          </w14:textFill>
        </w:rPr>
        <w:t xml:space="preserve">                                  </w:t>
      </w:r>
    </w:p>
    <w:p>
      <w:pPr>
        <w:adjustRightIn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3、本项目报价：</w:t>
      </w:r>
    </w:p>
    <w:p>
      <w:pPr>
        <w:rPr>
          <w:rFonts w:ascii="仿宋_GB2312" w:hAnsi="宋体" w:eastAsia="仿宋_GB2312"/>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标段</w:t>
      </w:r>
      <w:r>
        <w:rPr>
          <w:rFonts w:hAnsi="宋体"/>
          <w:color w:val="000000" w:themeColor="text1"/>
          <w:sz w:val="28"/>
          <w:szCs w:val="28"/>
          <w14:textFill>
            <w14:solidFill>
              <w14:schemeClr w14:val="tx1"/>
            </w14:solidFill>
          </w14:textFill>
        </w:rPr>
        <w:t>一</w:t>
      </w:r>
      <w:r>
        <w:rPr>
          <w:rFonts w:hint="eastAsia" w:hAnsi="宋体"/>
          <w:color w:val="000000" w:themeColor="text1"/>
          <w:sz w:val="28"/>
          <w:szCs w:val="28"/>
          <w14:textFill>
            <w14:solidFill>
              <w14:schemeClr w14:val="tx1"/>
            </w14:solidFill>
          </w14:textFill>
        </w:rPr>
        <w:t>：</w:t>
      </w:r>
    </w:p>
    <w:tbl>
      <w:tblPr>
        <w:tblStyle w:val="15"/>
        <w:tblW w:w="8567" w:type="dxa"/>
        <w:tblInd w:w="-95" w:type="dxa"/>
        <w:tblLayout w:type="fixed"/>
        <w:tblCellMar>
          <w:top w:w="0" w:type="dxa"/>
          <w:left w:w="108" w:type="dxa"/>
          <w:bottom w:w="0" w:type="dxa"/>
          <w:right w:w="108" w:type="dxa"/>
        </w:tblCellMar>
      </w:tblPr>
      <w:tblGrid>
        <w:gridCol w:w="751"/>
        <w:gridCol w:w="1933"/>
        <w:gridCol w:w="828"/>
        <w:gridCol w:w="2503"/>
        <w:gridCol w:w="2552"/>
      </w:tblGrid>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物品名称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（台）</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单价</w:t>
            </w:r>
          </w:p>
          <w:p>
            <w:pPr>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小计</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r>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标段一</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生产对象存储（同城主备）扩容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6</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35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bl>
    <w:p>
      <w:pPr>
        <w:snapToGrid w:val="0"/>
        <w:spacing w:line="320" w:lineRule="exact"/>
        <w:rPr>
          <w:rFonts w:hAnsi="宋体"/>
          <w:b/>
          <w:color w:val="000000" w:themeColor="text1"/>
          <w:sz w:val="24"/>
          <w:szCs w:val="28"/>
          <w14:textFill>
            <w14:solidFill>
              <w14:schemeClr w14:val="tx1"/>
            </w14:solidFill>
          </w14:textFill>
        </w:rPr>
      </w:pPr>
      <w:r>
        <w:rPr>
          <w:rFonts w:hint="eastAsia" w:ascii="仿宋_GB2312" w:hAnsi="宋体" w:eastAsia="仿宋_GB2312"/>
          <w:b/>
          <w:color w:val="000000" w:themeColor="text1"/>
          <w:sz w:val="24"/>
          <w:szCs w:val="28"/>
          <w14:textFill>
            <w14:solidFill>
              <w14:schemeClr w14:val="tx1"/>
            </w14:solidFill>
          </w14:textFill>
        </w:rPr>
        <w:t>付款方式：2:7:1，即双方签署本合同后，付20%；收到货物后且验收通过后付70%；余下款项逐年付2%，分五年付清。</w:t>
      </w:r>
    </w:p>
    <w:p>
      <w:pPr>
        <w:rPr>
          <w:rFonts w:ascii="仿宋_GB2312" w:hAnsi="宋体" w:eastAsia="仿宋_GB2312"/>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标段二：</w:t>
      </w:r>
    </w:p>
    <w:tbl>
      <w:tblPr>
        <w:tblStyle w:val="15"/>
        <w:tblW w:w="8567" w:type="dxa"/>
        <w:tblInd w:w="-95" w:type="dxa"/>
        <w:tblLayout w:type="fixed"/>
        <w:tblCellMar>
          <w:top w:w="0" w:type="dxa"/>
          <w:left w:w="108" w:type="dxa"/>
          <w:bottom w:w="0" w:type="dxa"/>
          <w:right w:w="108" w:type="dxa"/>
        </w:tblCellMar>
      </w:tblPr>
      <w:tblGrid>
        <w:gridCol w:w="751"/>
        <w:gridCol w:w="1933"/>
        <w:gridCol w:w="828"/>
        <w:gridCol w:w="2503"/>
        <w:gridCol w:w="2552"/>
      </w:tblGrid>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物品名称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（台）</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单价</w:t>
            </w:r>
          </w:p>
          <w:p>
            <w:pPr>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小计</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r>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标段二</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生产NAS文件存储（同城双活）扩容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35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bl>
    <w:p>
      <w:pPr>
        <w:rPr>
          <w:rFonts w:hAnsi="宋体"/>
          <w:color w:val="000000" w:themeColor="text1"/>
          <w:sz w:val="28"/>
          <w:szCs w:val="28"/>
          <w14:textFill>
            <w14:solidFill>
              <w14:schemeClr w14:val="tx1"/>
            </w14:solidFill>
          </w14:textFill>
        </w:rPr>
      </w:pPr>
      <w:r>
        <w:rPr>
          <w:rFonts w:hint="eastAsia" w:ascii="仿宋_GB2312" w:hAnsi="宋体" w:eastAsia="仿宋_GB2312"/>
          <w:b/>
          <w:color w:val="000000" w:themeColor="text1"/>
          <w:sz w:val="24"/>
          <w:szCs w:val="28"/>
          <w14:textFill>
            <w14:solidFill>
              <w14:schemeClr w14:val="tx1"/>
            </w14:solidFill>
          </w14:textFill>
        </w:rPr>
        <w:t>付款方式：2:7:1，即双方签署本合同后，付20%；收到货物后且验收通过后付70%；余下款项逐年付2%，分五年付清。</w:t>
      </w:r>
    </w:p>
    <w:p>
      <w:pPr>
        <w:rPr>
          <w:rFonts w:ascii="仿宋_GB2312" w:hAnsi="宋体" w:eastAsia="仿宋_GB2312"/>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标段三：</w:t>
      </w:r>
    </w:p>
    <w:tbl>
      <w:tblPr>
        <w:tblStyle w:val="15"/>
        <w:tblW w:w="8567" w:type="dxa"/>
        <w:tblInd w:w="-95" w:type="dxa"/>
        <w:tblLayout w:type="fixed"/>
        <w:tblCellMar>
          <w:top w:w="0" w:type="dxa"/>
          <w:left w:w="108" w:type="dxa"/>
          <w:bottom w:w="0" w:type="dxa"/>
          <w:right w:w="108" w:type="dxa"/>
        </w:tblCellMar>
      </w:tblPr>
      <w:tblGrid>
        <w:gridCol w:w="751"/>
        <w:gridCol w:w="1933"/>
        <w:gridCol w:w="828"/>
        <w:gridCol w:w="2503"/>
        <w:gridCol w:w="2552"/>
      </w:tblGrid>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物品名称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（台）</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单价</w:t>
            </w:r>
          </w:p>
          <w:p>
            <w:pPr>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小计</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r>
      <w:tr>
        <w:tblPrEx>
          <w:tblCellMar>
            <w:top w:w="0" w:type="dxa"/>
            <w:left w:w="108" w:type="dxa"/>
            <w:bottom w:w="0" w:type="dxa"/>
            <w:right w:w="108" w:type="dxa"/>
          </w:tblCellMar>
        </w:tblPrEx>
        <w:trPr>
          <w:trHeight w:val="68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标段三</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测试集中式存储扩容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w:t>
            </w:r>
          </w:p>
        </w:tc>
        <w:tc>
          <w:tcPr>
            <w:tcW w:w="250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35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bl>
    <w:p>
      <w:pPr>
        <w:rPr>
          <w:rFonts w:hAnsi="宋体"/>
          <w:color w:val="000000" w:themeColor="text1"/>
          <w:sz w:val="28"/>
          <w:szCs w:val="28"/>
          <w14:textFill>
            <w14:solidFill>
              <w14:schemeClr w14:val="tx1"/>
            </w14:solidFill>
          </w14:textFill>
        </w:rPr>
      </w:pPr>
      <w:r>
        <w:rPr>
          <w:rFonts w:hint="eastAsia" w:ascii="仿宋_GB2312" w:hAnsi="宋体" w:eastAsia="仿宋_GB2312"/>
          <w:b/>
          <w:color w:val="000000" w:themeColor="text1"/>
          <w:sz w:val="24"/>
          <w:szCs w:val="28"/>
          <w14:textFill>
            <w14:solidFill>
              <w14:schemeClr w14:val="tx1"/>
            </w14:solidFill>
          </w14:textFill>
        </w:rPr>
        <w:t>付款方式：2:7:1，即双方签署本合同后，付20%；收到货物后且验收通过后付70%；余下款项逐年付2%，分五年付清。</w:t>
      </w:r>
    </w:p>
    <w:p>
      <w:pPr>
        <w:rPr>
          <w:rFonts w:hint="eastAsia" w:hAnsi="宋体"/>
          <w:color w:val="000000" w:themeColor="text1"/>
          <w:sz w:val="28"/>
          <w:szCs w:val="28"/>
          <w14:textFill>
            <w14:solidFill>
              <w14:schemeClr w14:val="tx1"/>
            </w14:solidFill>
          </w14:textFill>
        </w:rPr>
      </w:pPr>
    </w:p>
    <w:p>
      <w:pPr>
        <w:rPr>
          <w:rFonts w:ascii="仿宋_GB2312" w:hAnsi="宋体" w:eastAsia="仿宋_GB2312"/>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标段四：</w:t>
      </w:r>
    </w:p>
    <w:tbl>
      <w:tblPr>
        <w:tblStyle w:val="15"/>
        <w:tblW w:w="8617" w:type="dxa"/>
        <w:tblInd w:w="-95" w:type="dxa"/>
        <w:tblLayout w:type="fixed"/>
        <w:tblCellMar>
          <w:top w:w="0" w:type="dxa"/>
          <w:left w:w="108" w:type="dxa"/>
          <w:bottom w:w="0" w:type="dxa"/>
          <w:right w:w="108" w:type="dxa"/>
        </w:tblCellMar>
      </w:tblPr>
      <w:tblGrid>
        <w:gridCol w:w="751"/>
        <w:gridCol w:w="1720"/>
        <w:gridCol w:w="851"/>
        <w:gridCol w:w="1843"/>
        <w:gridCol w:w="1559"/>
        <w:gridCol w:w="1893"/>
      </w:tblGrid>
      <w:tr>
        <w:tblPrEx>
          <w:tblCellMar>
            <w:top w:w="0" w:type="dxa"/>
            <w:left w:w="108" w:type="dxa"/>
            <w:bottom w:w="0" w:type="dxa"/>
            <w:right w:w="108" w:type="dxa"/>
          </w:tblCellMar>
        </w:tblPrEx>
        <w:trPr>
          <w:trHeight w:val="628"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物品名称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（台）</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规格要求</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单价</w:t>
            </w:r>
          </w:p>
          <w:p>
            <w:pPr>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小计</w:t>
            </w:r>
          </w:p>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(万元)</w:t>
            </w:r>
          </w:p>
        </w:tc>
      </w:tr>
      <w:tr>
        <w:tblPrEx>
          <w:tblCellMar>
            <w:top w:w="0" w:type="dxa"/>
            <w:left w:w="108" w:type="dxa"/>
            <w:bottom w:w="0" w:type="dxa"/>
            <w:right w:w="108" w:type="dxa"/>
          </w:tblCellMar>
        </w:tblPrEx>
        <w:trPr>
          <w:trHeight w:val="56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5500V6存储扩容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8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品牌：</w:t>
            </w:r>
            <w:r>
              <w:rPr>
                <w:rFonts w:hint="eastAsia" w:ascii="宋体" w:hAnsi="宋体" w:cs="宋体"/>
                <w:color w:val="000000" w:themeColor="text1"/>
                <w:kern w:val="0"/>
                <w:sz w:val="20"/>
                <w:lang w:bidi="ar"/>
                <w14:textFill>
                  <w14:solidFill>
                    <w14:schemeClr w14:val="tx1"/>
                  </w14:solidFill>
                </w14:textFill>
              </w:rPr>
              <w:t>华为</w:t>
            </w:r>
          </w:p>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型号：</w:t>
            </w:r>
            <w:r>
              <w:rPr>
                <w:rFonts w:hint="eastAsia" w:ascii="宋体" w:hAnsi="宋体" w:cs="宋体"/>
                <w:color w:val="000000" w:themeColor="text1"/>
                <w:kern w:val="0"/>
                <w:sz w:val="20"/>
                <w:lang w:bidi="ar"/>
                <w14:textFill>
                  <w14:solidFill>
                    <w14:schemeClr w14:val="tx1"/>
                  </w14:solidFill>
                </w14:textFill>
              </w:rPr>
              <w:t>OceanStor Dorado 5500 V6</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6800V6存储扩容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2</w:t>
            </w:r>
          </w:p>
        </w:tc>
        <w:tc>
          <w:tcPr>
            <w:tcW w:w="18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品牌：</w:t>
            </w:r>
            <w:r>
              <w:rPr>
                <w:rFonts w:hint="eastAsia" w:ascii="宋体" w:hAnsi="宋体" w:cs="宋体"/>
                <w:color w:val="000000" w:themeColor="text1"/>
                <w:kern w:val="0"/>
                <w:sz w:val="20"/>
                <w:lang w:bidi="ar"/>
                <w14:textFill>
                  <w14:solidFill>
                    <w14:schemeClr w14:val="tx1"/>
                  </w14:solidFill>
                </w14:textFill>
              </w:rPr>
              <w:t>华为</w:t>
            </w:r>
          </w:p>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型号：</w:t>
            </w:r>
            <w:r>
              <w:rPr>
                <w:rFonts w:hint="eastAsia" w:ascii="宋体" w:hAnsi="宋体" w:cs="宋体"/>
                <w:color w:val="000000" w:themeColor="text1"/>
                <w:kern w:val="0"/>
                <w:sz w:val="20"/>
                <w:lang w:bidi="ar"/>
                <w14:textFill>
                  <w14:solidFill>
                    <w14:schemeClr w14:val="tx1"/>
                  </w14:solidFill>
                </w14:textFill>
              </w:rPr>
              <w:t>Dorado 6800 V6四控</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2"/>
                <w:szCs w:val="22"/>
                <w14:textFill>
                  <w14:solidFill>
                    <w14:schemeClr w14:val="tx1"/>
                  </w14:solidFill>
                </w14:textFill>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对象存储扩容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0"/>
                <w:lang w:bidi="ar"/>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1</w:t>
            </w:r>
          </w:p>
        </w:tc>
        <w:tc>
          <w:tcPr>
            <w:tcW w:w="184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品牌：</w:t>
            </w:r>
            <w:r>
              <w:rPr>
                <w:rFonts w:hint="eastAsia" w:ascii="宋体" w:hAnsi="宋体" w:cs="宋体"/>
                <w:color w:val="000000" w:themeColor="text1"/>
                <w:kern w:val="0"/>
                <w:sz w:val="20"/>
                <w:lang w:bidi="ar"/>
                <w14:textFill>
                  <w14:solidFill>
                    <w14:schemeClr w14:val="tx1"/>
                  </w14:solidFill>
                </w14:textFill>
              </w:rPr>
              <w:t>华为</w:t>
            </w:r>
          </w:p>
          <w:p>
            <w:pPr>
              <w:spacing w:line="240" w:lineRule="exact"/>
              <w:jc w:val="lef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型号：</w:t>
            </w:r>
            <w:r>
              <w:rPr>
                <w:rFonts w:hint="eastAsia" w:ascii="宋体" w:hAnsi="宋体" w:cs="宋体"/>
                <w:color w:val="000000" w:themeColor="text1"/>
                <w:kern w:val="0"/>
                <w:sz w:val="20"/>
                <w:lang w:bidi="ar"/>
                <w14:textFill>
                  <w14:solidFill>
                    <w14:schemeClr w14:val="tx1"/>
                  </w14:solidFill>
                </w14:textFill>
              </w:rPr>
              <w:t>OceanStor Pacific 9546</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33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合计（万元）</w:t>
            </w:r>
          </w:p>
        </w:tc>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themeColor="text1"/>
                <w:sz w:val="22"/>
                <w:szCs w:val="22"/>
                <w14:textFill>
                  <w14:solidFill>
                    <w14:schemeClr w14:val="tx1"/>
                  </w14:solidFill>
                </w14:textFill>
              </w:rPr>
            </w:pPr>
          </w:p>
        </w:tc>
      </w:tr>
    </w:tbl>
    <w:p>
      <w:pPr>
        <w:rPr>
          <w:rFonts w:ascii="仿宋_GB2312" w:hAnsi="宋体" w:eastAsia="仿宋_GB2312"/>
          <w:snapToGrid w:val="0"/>
          <w:color w:val="000000" w:themeColor="text1"/>
          <w:kern w:val="0"/>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标段四</w:t>
      </w:r>
      <w:r>
        <w:rPr>
          <w:rFonts w:ascii="仿宋" w:hAnsi="仿宋" w:eastAsia="仿宋"/>
          <w:color w:val="000000" w:themeColor="text1"/>
          <w:sz w:val="24"/>
          <w:szCs w:val="24"/>
          <w14:textFill>
            <w14:solidFill>
              <w14:schemeClr w14:val="tx1"/>
            </w14:solidFill>
          </w14:textFill>
        </w:rPr>
        <w:t>总价含</w:t>
      </w:r>
      <w:r>
        <w:rPr>
          <w:rFonts w:ascii="仿宋" w:hAnsi="仿宋" w:eastAsia="仿宋"/>
          <w:color w:val="000000" w:themeColor="text1"/>
          <w:sz w:val="24"/>
          <w:szCs w:val="24"/>
          <w:u w:val="single"/>
          <w14:textFill>
            <w14:solidFill>
              <w14:schemeClr w14:val="tx1"/>
            </w14:solidFill>
          </w14:textFill>
        </w:rPr>
        <w:t xml:space="preserve">  　　% </w:t>
      </w:r>
      <w:r>
        <w:rPr>
          <w:rFonts w:ascii="仿宋" w:hAnsi="仿宋" w:eastAsia="仿宋"/>
          <w:color w:val="000000" w:themeColor="text1"/>
          <w:sz w:val="24"/>
          <w:szCs w:val="24"/>
          <w14:textFill>
            <w14:solidFill>
              <w14:schemeClr w14:val="tx1"/>
            </w14:solidFill>
          </w14:textFill>
        </w:rPr>
        <w:t>增值税。</w:t>
      </w:r>
    </w:p>
    <w:p>
      <w:pPr>
        <w:autoSpaceDE w:val="0"/>
        <w:autoSpaceDN w:val="0"/>
        <w:snapToGrid w:val="0"/>
        <w:spacing w:line="360" w:lineRule="auto"/>
        <w:ind w:firstLine="554" w:firstLineChars="198"/>
        <w:jc w:val="left"/>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付款方式：甲方收到货物并经初验合格的，在乙方提供符合合同约定的增值税专用发票后 30日内，甲方通过银行汇款方式支付合同金额90%的款项到乙方指定的收款账户。合同金额的10%待货物调试完毕验收合格一年后付清。</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*以上所有表格物品不得改动、删除，否则做无效投标处理</w:t>
      </w:r>
      <w:r>
        <w:rPr>
          <w:rFonts w:hint="eastAsia"/>
          <w:color w:val="000000" w:themeColor="text1"/>
          <w14:textFill>
            <w14:solidFill>
              <w14:schemeClr w14:val="tx1"/>
            </w14:solidFill>
          </w14:textFill>
        </w:rPr>
        <w:t>。</w:t>
      </w:r>
    </w:p>
    <w:p>
      <w:pPr>
        <w:spacing w:line="60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4、供货</w:t>
      </w:r>
      <w:r>
        <w:rPr>
          <w:rFonts w:ascii="仿宋_GB2312" w:eastAsia="仿宋_GB2312"/>
          <w:color w:val="000000" w:themeColor="text1"/>
          <w:sz w:val="30"/>
          <w:szCs w:val="30"/>
          <w14:textFill>
            <w14:solidFill>
              <w14:schemeClr w14:val="tx1"/>
            </w14:solidFill>
          </w14:textFill>
        </w:rPr>
        <w:t>周期</w:t>
      </w:r>
      <w:r>
        <w:rPr>
          <w:rFonts w:hint="eastAsia" w:ascii="仿宋_GB2312" w:eastAsia="仿宋_GB2312"/>
          <w:color w:val="000000" w:themeColor="text1"/>
          <w:sz w:val="30"/>
          <w:szCs w:val="30"/>
          <w14:textFill>
            <w14:solidFill>
              <w14:schemeClr w14:val="tx1"/>
            </w14:solidFill>
          </w14:textFill>
        </w:rPr>
        <w:t>（收到</w:t>
      </w:r>
      <w:r>
        <w:rPr>
          <w:rFonts w:ascii="仿宋_GB2312" w:eastAsia="仿宋_GB2312"/>
          <w:color w:val="000000" w:themeColor="text1"/>
          <w:sz w:val="30"/>
          <w:szCs w:val="30"/>
          <w14:textFill>
            <w14:solidFill>
              <w14:schemeClr w14:val="tx1"/>
            </w14:solidFill>
          </w14:textFill>
        </w:rPr>
        <w:t>中标</w:t>
      </w:r>
      <w:r>
        <w:rPr>
          <w:rFonts w:hint="eastAsia" w:ascii="仿宋_GB2312" w:eastAsia="仿宋_GB2312"/>
          <w:color w:val="000000" w:themeColor="text1"/>
          <w:sz w:val="30"/>
          <w:szCs w:val="30"/>
          <w14:textFill>
            <w14:solidFill>
              <w14:schemeClr w14:val="tx1"/>
            </w14:solidFill>
          </w14:textFill>
        </w:rPr>
        <w:t>通知书</w:t>
      </w:r>
      <w:r>
        <w:rPr>
          <w:rFonts w:ascii="仿宋_GB2312" w:eastAsia="仿宋_GB2312"/>
          <w:color w:val="000000" w:themeColor="text1"/>
          <w:sz w:val="30"/>
          <w:szCs w:val="30"/>
          <w14:textFill>
            <w14:solidFill>
              <w14:schemeClr w14:val="tx1"/>
            </w14:solidFill>
          </w14:textFill>
        </w:rPr>
        <w:t>时间起算</w:t>
      </w:r>
      <w:r>
        <w:rPr>
          <w:rFonts w:hint="eastAsia" w:ascii="仿宋_GB2312" w:eastAsia="仿宋_GB2312"/>
          <w:color w:val="000000" w:themeColor="text1"/>
          <w:sz w:val="30"/>
          <w:szCs w:val="30"/>
          <w14:textFill>
            <w14:solidFill>
              <w14:schemeClr w14:val="tx1"/>
            </w14:solidFill>
          </w14:textFill>
        </w:rPr>
        <w:t>）</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________（天）</w:t>
      </w:r>
    </w:p>
    <w:p>
      <w:pPr>
        <w:spacing w:line="600" w:lineRule="exact"/>
        <w:rPr>
          <w:snapToGrid w:val="0"/>
          <w:color w:val="000000" w:themeColor="text1"/>
          <w:sz w:val="28"/>
          <w:szCs w:val="28"/>
          <w14:textFill>
            <w14:solidFill>
              <w14:schemeClr w14:val="tx1"/>
            </w14:solidFill>
          </w14:textFill>
        </w:rPr>
      </w:pPr>
    </w:p>
    <w:p>
      <w:pPr>
        <w:spacing w:line="6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 其他优惠条件（如有请列明）</w:t>
      </w:r>
    </w:p>
    <w:p>
      <w:pPr>
        <w:adjustRightInd w:val="0"/>
        <w:spacing w:line="640" w:lineRule="exact"/>
        <w:rPr>
          <w:rFonts w:ascii="仿宋_GB2312" w:eastAsia="仿宋_GB2312"/>
          <w:snapToGrid w:val="0"/>
          <w:color w:val="000000" w:themeColor="text1"/>
          <w:sz w:val="28"/>
          <w:szCs w:val="28"/>
          <w14:textFill>
            <w14:solidFill>
              <w14:schemeClr w14:val="tx1"/>
            </w14:solidFill>
          </w14:textFill>
        </w:rPr>
      </w:pPr>
      <w:bookmarkStart w:id="74" w:name="_GoBack"/>
      <w:bookmarkEnd w:id="74"/>
    </w:p>
    <w:p>
      <w:pPr>
        <w:spacing w:line="360" w:lineRule="auto"/>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备注：</w:t>
      </w:r>
    </w:p>
    <w:p>
      <w:pPr>
        <w:pStyle w:val="26"/>
        <w:spacing w:line="360" w:lineRule="auto"/>
        <w:ind w:firstLine="482"/>
        <w:jc w:val="left"/>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本次报价包含本项目所有费用及供应商为项目实施而支付的交通、食宿、通讯、税费等全部费用，昆山农商银行不再另外支付与本项目有关的其他费用。</w:t>
      </w:r>
    </w:p>
    <w:p>
      <w:pPr>
        <w:spacing w:line="360" w:lineRule="auto"/>
        <w:ind w:left="1526" w:hanging="1526"/>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（本表内未明确列述的项目费用应视为包括在项目费用总额之内）</w:t>
      </w:r>
    </w:p>
    <w:p>
      <w:pPr>
        <w:adjustRightInd w:val="0"/>
        <w:spacing w:line="360" w:lineRule="auto"/>
        <w:rPr>
          <w:rFonts w:ascii="仿宋_GB2312" w:eastAsia="仿宋_GB2312"/>
          <w:snapToGrid w:val="0"/>
          <w:color w:val="000000" w:themeColor="text1"/>
          <w:sz w:val="28"/>
          <w:szCs w:val="28"/>
          <w14:textFill>
            <w14:solidFill>
              <w14:schemeClr w14:val="tx1"/>
            </w14:solidFill>
          </w14:textFill>
        </w:rPr>
      </w:pPr>
      <w:r>
        <w:rPr>
          <w:rFonts w:hint="eastAsia" w:ascii="仿宋_GB2312" w:eastAsia="仿宋_GB2312"/>
          <w:snapToGrid w:val="0"/>
          <w:color w:val="000000" w:themeColor="text1"/>
          <w:sz w:val="28"/>
          <w:szCs w:val="28"/>
          <w14:textFill>
            <w14:solidFill>
              <w14:schemeClr w14:val="tx1"/>
            </w14:solidFill>
          </w14:textFill>
        </w:rPr>
        <w:t>公司盖章：</w:t>
      </w:r>
    </w:p>
    <w:p>
      <w:pPr>
        <w:autoSpaceDE w:val="0"/>
        <w:autoSpaceDN w:val="0"/>
        <w:spacing w:line="36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法定代表人或其授权的代表签字：                 </w:t>
      </w:r>
    </w:p>
    <w:p>
      <w:pPr>
        <w:spacing w:line="360" w:lineRule="auto"/>
        <w:ind w:left="1526" w:hanging="1526"/>
        <w:rPr>
          <w:color w:val="000000" w:themeColor="text1"/>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日 期：    </w:t>
      </w:r>
      <w:r>
        <w:rPr>
          <w:color w:val="000000" w:themeColor="text1"/>
          <w14:textFill>
            <w14:solidFill>
              <w14:schemeClr w14:val="tx1"/>
            </w14:solidFill>
          </w14:textFill>
        </w:rPr>
        <w:br w:type="page"/>
      </w:r>
    </w:p>
    <w:p>
      <w:pPr>
        <w:snapToGrid w:val="0"/>
        <w:spacing w:line="360" w:lineRule="auto"/>
        <w:outlineLvl w:val="1"/>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附件5：</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标段一至标段三：拟签订的合同文本</w:t>
      </w:r>
    </w:p>
    <w:p>
      <w:pPr>
        <w:spacing w:before="156" w:beforeLines="50" w:line="360" w:lineRule="auto"/>
        <w:jc w:val="righ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密级：秘密</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江苏昆山农村商业银行股份有限公司</w:t>
      </w:r>
    </w:p>
    <w:p>
      <w:pPr>
        <w:spacing w:line="360" w:lineRule="auto"/>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u w:val="single"/>
          <w14:textFill>
            <w14:solidFill>
              <w14:schemeClr w14:val="tx1"/>
            </w14:solidFill>
          </w14:textFill>
        </w:rPr>
        <w:t xml:space="preserve"> </w:t>
      </w:r>
      <w:r>
        <w:rPr>
          <w:rFonts w:ascii="黑体" w:hAnsi="黑体" w:eastAsia="黑体"/>
          <w:color w:val="000000" w:themeColor="text1"/>
          <w:sz w:val="44"/>
          <w:szCs w:val="44"/>
          <w:u w:val="single"/>
          <w14:textFill>
            <w14:solidFill>
              <w14:schemeClr w14:val="tx1"/>
            </w14:solidFill>
          </w14:textFill>
        </w:rPr>
        <w:t xml:space="preserve">                     </w:t>
      </w:r>
      <w:r>
        <w:rPr>
          <w:rFonts w:hint="eastAsia" w:ascii="黑体" w:hAnsi="黑体" w:eastAsia="黑体"/>
          <w:color w:val="000000" w:themeColor="text1"/>
          <w:sz w:val="44"/>
          <w:szCs w:val="44"/>
          <w14:textFill>
            <w14:solidFill>
              <w14:schemeClr w14:val="tx1"/>
            </w14:solidFill>
          </w14:textFill>
        </w:rPr>
        <w:t>采购合同</w:t>
      </w:r>
    </w:p>
    <w:p>
      <w:pPr>
        <w:spacing w:line="360" w:lineRule="auto"/>
        <w:jc w:val="center"/>
        <w:rPr>
          <w:rFonts w:ascii="华文中宋" w:hAnsi="华文中宋" w:eastAsia="华文中宋"/>
          <w:color w:val="000000" w:themeColor="text1"/>
          <w:sz w:val="44"/>
          <w:szCs w:val="44"/>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p>
    <w:tbl>
      <w:tblPr>
        <w:tblStyle w:val="15"/>
        <w:tblW w:w="5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合同编号：</w:t>
            </w:r>
          </w:p>
        </w:tc>
        <w:tc>
          <w:tcPr>
            <w:tcW w:w="4402" w:type="dxa"/>
            <w:tcBorders>
              <w:top w:val="single" w:color="auto" w:sz="4" w:space="0"/>
              <w:left w:val="single" w:color="auto" w:sz="4" w:space="0"/>
              <w:bottom w:val="single" w:color="auto" w:sz="4" w:space="0"/>
              <w:right w:val="single" w:color="auto" w:sz="4" w:space="0"/>
            </w:tcBorders>
          </w:tcPr>
          <w:p>
            <w:pPr>
              <w:tabs>
                <w:tab w:val="center" w:pos="1869"/>
              </w:tabs>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 xml:space="preserve"> </w:t>
            </w:r>
            <w:r>
              <w:rPr>
                <w:rFonts w:asciiTheme="minorEastAsia" w:hAnsiTheme="minorEastAsia" w:eastAsiaTheme="minorEastAsia"/>
                <w:color w:val="000000" w:themeColor="text1"/>
                <w:sz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甲方：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江苏昆山农村商业银行股份有限公司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乙方：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 xml:space="preserve">                       </w:t>
            </w:r>
            <w:r>
              <w:rPr>
                <w:rFonts w:hint="eastAsia" w:asciiTheme="minorEastAsia" w:hAnsiTheme="minorEastAsia" w:eastAsiaTheme="minorEastAsia"/>
                <w:color w:val="000000" w:themeColor="text1"/>
                <w:sz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签订地点：</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江苏省昆山市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1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签订日期：</w:t>
            </w:r>
          </w:p>
        </w:tc>
        <w:tc>
          <w:tcPr>
            <w:tcW w:w="44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 xml:space="preserve"> </w:t>
            </w:r>
            <w:r>
              <w:rPr>
                <w:rFonts w:asciiTheme="minorEastAsia" w:hAnsiTheme="minorEastAsia" w:eastAsiaTheme="minorEastAsia"/>
                <w:color w:val="000000" w:themeColor="text1"/>
                <w:sz w:val="22"/>
                <w14:textFill>
                  <w14:solidFill>
                    <w14:schemeClr w14:val="tx1"/>
                  </w14:solidFill>
                </w14:textFill>
              </w:rPr>
              <w:t xml:space="preserve">          </w:t>
            </w:r>
          </w:p>
        </w:tc>
      </w:tr>
    </w:tbl>
    <w:p>
      <w:pPr>
        <w:spacing w:line="360" w:lineRule="auto"/>
        <w:rPr>
          <w:rFonts w:eastAsia="黑体"/>
          <w:color w:val="000000" w:themeColor="text1"/>
          <w:sz w:val="44"/>
          <w:szCs w:val="44"/>
          <w14:textFill>
            <w14:solidFill>
              <w14:schemeClr w14:val="tx1"/>
            </w14:solidFill>
          </w14:textFill>
        </w:rPr>
      </w:pPr>
    </w:p>
    <w:p>
      <w:pPr>
        <w:spacing w:line="360" w:lineRule="auto"/>
        <w:rPr>
          <w:rFonts w:eastAsia="黑体"/>
          <w:color w:val="000000" w:themeColor="text1"/>
          <w:kern w:val="0"/>
          <w:sz w:val="44"/>
          <w:szCs w:val="44"/>
          <w14:textFill>
            <w14:solidFill>
              <w14:schemeClr w14:val="tx1"/>
            </w14:solidFill>
          </w14:textFill>
        </w:rPr>
      </w:pPr>
    </w:p>
    <w:p>
      <w:pPr>
        <w:spacing w:line="360" w:lineRule="auto"/>
        <w:rPr>
          <w:rFonts w:eastAsia="黑体"/>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p>
    <w:sdt>
      <w:sdtPr>
        <w:rPr>
          <w:rFonts w:ascii="Times New Roman" w:hAnsi="Times New Roman" w:eastAsia="宋体" w:cs="Times New Roman"/>
          <w:b w:val="0"/>
          <w:bCs w:val="0"/>
          <w:color w:val="000000" w:themeColor="text1"/>
          <w:kern w:val="2"/>
          <w:sz w:val="21"/>
          <w:szCs w:val="24"/>
          <w:lang w:val="zh-CN"/>
          <w14:textFill>
            <w14:solidFill>
              <w14:schemeClr w14:val="tx1"/>
            </w14:solidFill>
          </w14:textFill>
        </w:rPr>
        <w:id w:val="1160738413"/>
        <w:docPartObj>
          <w:docPartGallery w:val="Table of Contents"/>
          <w:docPartUnique/>
        </w:docPartObj>
      </w:sdtPr>
      <w:sdtEndPr>
        <w:rPr>
          <w:rFonts w:ascii="Times New Roman" w:hAnsi="Times New Roman" w:eastAsia="宋体" w:cs="Times New Roman"/>
          <w:b w:val="0"/>
          <w:bCs w:val="0"/>
          <w:color w:val="000000" w:themeColor="text1"/>
          <w:kern w:val="2"/>
          <w:sz w:val="21"/>
          <w:szCs w:val="20"/>
          <w:lang w:val="zh-CN"/>
          <w14:textFill>
            <w14:solidFill>
              <w14:schemeClr w14:val="tx1"/>
            </w14:solidFill>
          </w14:textFill>
        </w:rPr>
      </w:sdtEndPr>
      <w:sdtContent>
        <w:p>
          <w:pPr>
            <w:pStyle w:val="32"/>
            <w:keepNext w:val="0"/>
            <w:keepLines w:val="0"/>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"_Toc505620441" </w:instrText>
          </w:r>
          <w:r>
            <w:fldChar w:fldCharType="separate"/>
          </w:r>
          <w:r>
            <w:rPr>
              <w:rStyle w:val="17"/>
              <w:rFonts w:hint="eastAsia" w:hAnsi="宋体"/>
              <w:color w:val="000000" w:themeColor="text1"/>
              <w14:textFill>
                <w14:solidFill>
                  <w14:schemeClr w14:val="tx1"/>
                </w14:solidFill>
              </w14:textFill>
            </w:rPr>
            <w:t>第一条：定义和解释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"_Toc505620442" </w:instrText>
          </w:r>
          <w:r>
            <w:fldChar w:fldCharType="separate"/>
          </w:r>
          <w:r>
            <w:rPr>
              <w:rStyle w:val="17"/>
              <w:rFonts w:hint="eastAsia" w:hAnsi="宋体"/>
              <w:color w:val="000000" w:themeColor="text1"/>
              <w14:textFill>
                <w14:solidFill>
                  <w14:schemeClr w14:val="tx1"/>
                </w14:solidFill>
              </w14:textFill>
            </w:rPr>
            <w:t>第二条：产品的名称、品种、规格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"_Toc505620443" </w:instrText>
          </w:r>
          <w:r>
            <w:fldChar w:fldCharType="separate"/>
          </w:r>
          <w:r>
            <w:rPr>
              <w:rStyle w:val="17"/>
              <w:rFonts w:hint="eastAsia" w:hAnsi="宋体"/>
              <w:color w:val="000000" w:themeColor="text1"/>
              <w14:textFill>
                <w14:solidFill>
                  <w14:schemeClr w14:val="tx1"/>
                </w14:solidFill>
              </w14:textFill>
            </w:rPr>
            <w:t>第三条：质量标准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"_Toc505620444" </w:instrText>
          </w:r>
          <w:r>
            <w:fldChar w:fldCharType="separate"/>
          </w:r>
          <w:r>
            <w:rPr>
              <w:rStyle w:val="17"/>
              <w:rFonts w:hint="eastAsia" w:hAnsi="宋体"/>
              <w:color w:val="000000" w:themeColor="text1"/>
              <w14:textFill>
                <w14:solidFill>
                  <w14:schemeClr w14:val="tx1"/>
                </w14:solidFill>
              </w14:textFill>
            </w:rPr>
            <w:t>第四条：产品发货和运输费用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"_Toc505620445" </w:instrText>
          </w:r>
          <w:r>
            <w:fldChar w:fldCharType="separate"/>
          </w:r>
          <w:r>
            <w:rPr>
              <w:rStyle w:val="17"/>
              <w:rFonts w:hint="eastAsia" w:hAnsi="宋体"/>
              <w:color w:val="000000" w:themeColor="text1"/>
              <w14:textFill>
                <w14:solidFill>
                  <w14:schemeClr w14:val="tx1"/>
                </w14:solidFill>
              </w14:textFill>
            </w:rPr>
            <w:t>第五条：交货期限和到达地点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"_Toc505620446" </w:instrText>
          </w:r>
          <w:r>
            <w:fldChar w:fldCharType="separate"/>
          </w:r>
          <w:r>
            <w:rPr>
              <w:rStyle w:val="17"/>
              <w:rFonts w:hint="eastAsia" w:hAnsi="宋体"/>
              <w:color w:val="000000" w:themeColor="text1"/>
              <w14:textFill>
                <w14:solidFill>
                  <w14:schemeClr w14:val="tx1"/>
                </w14:solidFill>
              </w14:textFill>
            </w:rPr>
            <w:t>第六条：产品的包装标准和包装物的供应和回收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"_Toc505620447" </w:instrText>
          </w:r>
          <w:r>
            <w:fldChar w:fldCharType="separate"/>
          </w:r>
          <w:r>
            <w:rPr>
              <w:rStyle w:val="17"/>
              <w:rFonts w:hint="eastAsia" w:hAnsi="宋体"/>
              <w:color w:val="000000" w:themeColor="text1"/>
              <w14:textFill>
                <w14:solidFill>
                  <w14:schemeClr w14:val="tx1"/>
                </w14:solidFill>
              </w14:textFill>
            </w:rPr>
            <w:t>第七条：设备安装和测试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"_Toc505620448" </w:instrText>
          </w:r>
          <w:r>
            <w:fldChar w:fldCharType="separate"/>
          </w:r>
          <w:r>
            <w:rPr>
              <w:rStyle w:val="17"/>
              <w:rFonts w:hint="eastAsia" w:hAnsi="宋体"/>
              <w:color w:val="000000" w:themeColor="text1"/>
              <w14:textFill>
                <w14:solidFill>
                  <w14:schemeClr w14:val="tx1"/>
                </w14:solidFill>
              </w14:textFill>
            </w:rPr>
            <w:t>第八条：验收和提出异议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"_Toc505620449" </w:instrText>
          </w:r>
          <w:r>
            <w:fldChar w:fldCharType="separate"/>
          </w:r>
          <w:r>
            <w:rPr>
              <w:rStyle w:val="17"/>
              <w:rFonts w:hint="eastAsia" w:hAnsi="宋体"/>
              <w:color w:val="000000" w:themeColor="text1"/>
              <w14:textFill>
                <w14:solidFill>
                  <w14:schemeClr w14:val="tx1"/>
                </w14:solidFill>
              </w14:textFill>
            </w:rPr>
            <w:t>第九条：售后服务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"_Toc505620450" </w:instrText>
          </w:r>
          <w:r>
            <w:fldChar w:fldCharType="separate"/>
          </w:r>
          <w:r>
            <w:rPr>
              <w:rStyle w:val="17"/>
              <w:rFonts w:hint="eastAsia" w:hAnsi="宋体"/>
              <w:color w:val="000000" w:themeColor="text1"/>
              <w14:textFill>
                <w14:solidFill>
                  <w14:schemeClr w14:val="tx1"/>
                </w14:solidFill>
              </w14:textFill>
            </w:rPr>
            <w:t>第十条：培训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"_Toc505620451" </w:instrText>
          </w:r>
          <w:r>
            <w:fldChar w:fldCharType="separate"/>
          </w:r>
          <w:r>
            <w:rPr>
              <w:rStyle w:val="17"/>
              <w:rFonts w:hint="eastAsia" w:hAnsi="宋体"/>
              <w:color w:val="000000" w:themeColor="text1"/>
              <w14:textFill>
                <w14:solidFill>
                  <w14:schemeClr w14:val="tx1"/>
                </w14:solidFill>
              </w14:textFill>
            </w:rPr>
            <w:t>第十一条：产品的价格和货款的结算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"_Toc505620452" </w:instrText>
          </w:r>
          <w:r>
            <w:fldChar w:fldCharType="separate"/>
          </w:r>
          <w:r>
            <w:rPr>
              <w:rStyle w:val="17"/>
              <w:rFonts w:hint="eastAsia" w:hAnsi="宋体"/>
              <w:color w:val="000000" w:themeColor="text1"/>
              <w14:textFill>
                <w14:solidFill>
                  <w14:schemeClr w14:val="tx1"/>
                </w14:solidFill>
              </w14:textFill>
            </w:rPr>
            <w:t>第十二条：甲方责任与义务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"_Toc505620453" </w:instrText>
          </w:r>
          <w:r>
            <w:fldChar w:fldCharType="separate"/>
          </w:r>
          <w:r>
            <w:rPr>
              <w:rStyle w:val="17"/>
              <w:rFonts w:hint="eastAsia" w:hAnsi="宋体"/>
              <w:color w:val="000000" w:themeColor="text1"/>
              <w14:textFill>
                <w14:solidFill>
                  <w14:schemeClr w14:val="tx1"/>
                </w14:solidFill>
              </w14:textFill>
            </w:rPr>
            <w:t>第十三条：乙方责任与义务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"_Toc505620454" </w:instrText>
          </w:r>
          <w:r>
            <w:fldChar w:fldCharType="separate"/>
          </w:r>
          <w:r>
            <w:rPr>
              <w:rStyle w:val="17"/>
              <w:rFonts w:hint="eastAsia" w:hAnsi="宋体"/>
              <w:color w:val="000000" w:themeColor="text1"/>
              <w14:textFill>
                <w14:solidFill>
                  <w14:schemeClr w14:val="tx1"/>
                </w14:solidFill>
              </w14:textFill>
            </w:rPr>
            <w:t>第十四条：保密条款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"_Toc505620455" </w:instrText>
          </w:r>
          <w:r>
            <w:fldChar w:fldCharType="separate"/>
          </w:r>
          <w:r>
            <w:rPr>
              <w:rStyle w:val="17"/>
              <w:rFonts w:hint="eastAsia" w:hAnsi="宋体"/>
              <w:color w:val="000000" w:themeColor="text1"/>
              <w14:textFill>
                <w14:solidFill>
                  <w14:schemeClr w14:val="tx1"/>
                </w14:solidFill>
              </w14:textFill>
            </w:rPr>
            <w:t>第十五条：违约及赔偿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"_Toc505620456" </w:instrText>
          </w:r>
          <w:r>
            <w:fldChar w:fldCharType="separate"/>
          </w:r>
          <w:r>
            <w:rPr>
              <w:rStyle w:val="17"/>
              <w:rFonts w:hint="eastAsia" w:hAnsi="宋体"/>
              <w:color w:val="000000" w:themeColor="text1"/>
              <w14:textFill>
                <w14:solidFill>
                  <w14:schemeClr w14:val="tx1"/>
                </w14:solidFill>
              </w14:textFill>
            </w:rPr>
            <w:t>第十六条：合同期限和终止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"_Toc505620457" </w:instrText>
          </w:r>
          <w:r>
            <w:fldChar w:fldCharType="separate"/>
          </w:r>
          <w:r>
            <w:rPr>
              <w:rStyle w:val="17"/>
              <w:rFonts w:hint="eastAsia" w:hAnsi="宋体"/>
              <w:color w:val="000000" w:themeColor="text1"/>
              <w14:textFill>
                <w14:solidFill>
                  <w14:schemeClr w14:val="tx1"/>
                </w14:solidFill>
              </w14:textFill>
            </w:rPr>
            <w:t>第十七条：不可抗力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"_Toc505620458" </w:instrText>
          </w:r>
          <w:r>
            <w:fldChar w:fldCharType="separate"/>
          </w:r>
          <w:r>
            <w:rPr>
              <w:rStyle w:val="17"/>
              <w:rFonts w:hint="eastAsia" w:hAnsi="宋体"/>
              <w:color w:val="000000" w:themeColor="text1"/>
              <w14:textFill>
                <w14:solidFill>
                  <w14:schemeClr w14:val="tx1"/>
                </w14:solidFill>
              </w14:textFill>
            </w:rPr>
            <w:t>第十八条：适用法律和争议解决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"_Toc505620459" </w:instrText>
          </w:r>
          <w:r>
            <w:fldChar w:fldCharType="separate"/>
          </w:r>
          <w:r>
            <w:rPr>
              <w:rStyle w:val="17"/>
              <w:rFonts w:hint="eastAsia" w:hAnsi="宋体"/>
              <w:color w:val="000000" w:themeColor="text1"/>
              <w14:textFill>
                <w14:solidFill>
                  <w14:schemeClr w14:val="tx1"/>
                </w14:solidFill>
              </w14:textFill>
            </w:rPr>
            <w:t>第十九条：合同修订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"_Toc505620460" </w:instrText>
          </w:r>
          <w:r>
            <w:fldChar w:fldCharType="separate"/>
          </w:r>
          <w:r>
            <w:rPr>
              <w:rStyle w:val="17"/>
              <w:rFonts w:hint="eastAsia" w:hAnsi="宋体"/>
              <w:color w:val="000000" w:themeColor="text1"/>
              <w14:textFill>
                <w14:solidFill>
                  <w14:schemeClr w14:val="tx1"/>
                </w14:solidFill>
              </w14:textFill>
            </w:rPr>
            <w:t>第二十条：合同生效及其它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"_Toc505620461" </w:instrText>
          </w:r>
          <w:r>
            <w:fldChar w:fldCharType="separate"/>
          </w:r>
          <w:r>
            <w:rPr>
              <w:rStyle w:val="17"/>
              <w:rFonts w:hint="eastAsia" w:hAnsi="宋体"/>
              <w:color w:val="000000" w:themeColor="text1"/>
              <w14:textFill>
                <w14:solidFill>
                  <w14:schemeClr w14:val="tx1"/>
                </w14:solidFill>
              </w14:textFill>
            </w:rPr>
            <w:t>第二十一条：未尽事宜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"_Toc505620462" </w:instrText>
          </w:r>
          <w:r>
            <w:fldChar w:fldCharType="separate"/>
          </w:r>
          <w:r>
            <w:rPr>
              <w:rStyle w:val="17"/>
              <w:rFonts w:hint="eastAsia" w:hAnsi="宋体"/>
              <w:color w:val="000000" w:themeColor="text1"/>
              <w14:textFill>
                <w14:solidFill>
                  <w14:schemeClr w14:val="tx1"/>
                </w14:solidFill>
              </w14:textFill>
            </w:rPr>
            <w:t>附件一：采购清单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"_Toc505620463" </w:instrText>
          </w:r>
          <w:r>
            <w:fldChar w:fldCharType="separate"/>
          </w:r>
          <w:r>
            <w:rPr>
              <w:rStyle w:val="17"/>
              <w:rFonts w:hint="eastAsia" w:hAnsi="宋体"/>
              <w:color w:val="000000" w:themeColor="text1"/>
              <w14:textFill>
                <w14:solidFill>
                  <w14:schemeClr w14:val="tx1"/>
                </w14:solidFill>
              </w14:textFill>
            </w:rPr>
            <w:t>附件二：保密协议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8296"/>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"_Toc505620464" </w:instrText>
          </w:r>
          <w:r>
            <w:fldChar w:fldCharType="separate"/>
          </w:r>
          <w:r>
            <w:rPr>
              <w:rStyle w:val="17"/>
              <w:rFonts w:hint="eastAsia" w:hAnsi="宋体"/>
              <w:color w:val="000000" w:themeColor="text1"/>
              <w14:textFill>
                <w14:solidFill>
                  <w14:schemeClr w14:val="tx1"/>
                </w14:solidFill>
              </w14:textFill>
            </w:rPr>
            <w:t>附件三：设备维保服务内容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_Toc505620464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甲方：江苏昆山农村商业银行股份有限公司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                 联系方式：</w:t>
      </w:r>
    </w:p>
    <w:p>
      <w:pPr>
        <w:ind w:firstLine="560" w:firstLineChars="200"/>
        <w:rPr>
          <w:rFonts w:ascii="仿宋_GB2312" w:eastAsia="仿宋_GB2312"/>
          <w:color w:val="000000" w:themeColor="text1"/>
          <w:sz w:val="28"/>
          <w:szCs w:val="28"/>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乙方： </w:t>
      </w:r>
      <w:r>
        <w:rPr>
          <w:rFonts w:ascii="宋体" w:hAnsi="宋体"/>
          <w:b/>
          <w:color w:val="000000" w:themeColor="text1"/>
          <w:sz w:val="24"/>
          <w14:textFill>
            <w14:solidFill>
              <w14:schemeClr w14:val="tx1"/>
            </w14:solidFill>
          </w14:textFill>
        </w:rPr>
        <w:t xml:space="preserve">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联系方式：             </w:t>
      </w:r>
    </w:p>
    <w:p>
      <w:pPr>
        <w:ind w:firstLine="560" w:firstLineChars="200"/>
        <w:rPr>
          <w:rFonts w:ascii="仿宋_GB2312" w:eastAsia="仿宋_GB2312"/>
          <w:color w:val="000000" w:themeColor="text1"/>
          <w:sz w:val="28"/>
          <w:szCs w:val="28"/>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买卖双方依据国家有关法律法规的规定，经过平等协商，就该合同达成如下协议：</w:t>
      </w:r>
    </w:p>
    <w:p>
      <w:pPr>
        <w:spacing w:line="360" w:lineRule="auto"/>
        <w:ind w:firstLine="480" w:firstLineChars="200"/>
        <w:rPr>
          <w:rFonts w:ascii="宋体" w:hAnsi="宋体"/>
          <w:color w:val="000000" w:themeColor="text1"/>
          <w:sz w:val="24"/>
          <w14:textFill>
            <w14:solidFill>
              <w14:schemeClr w14:val="tx1"/>
            </w14:solidFill>
          </w14:textFill>
        </w:rPr>
      </w:pP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0" w:name="_Toc505620441"/>
      <w:r>
        <w:rPr>
          <w:rFonts w:hint="eastAsia" w:ascii="宋体" w:hAnsi="宋体" w:eastAsia="宋体"/>
          <w:color w:val="000000" w:themeColor="text1"/>
          <w:sz w:val="24"/>
          <w14:textFill>
            <w14:solidFill>
              <w14:schemeClr w14:val="tx1"/>
            </w14:solidFill>
          </w14:textFill>
        </w:rPr>
        <w:t>第一条：定义和解释</w:t>
      </w:r>
      <w:bookmarkEnd w:id="0"/>
    </w:p>
    <w:p>
      <w:pPr>
        <w:rPr>
          <w:color w:val="000000" w:themeColor="text1"/>
          <w:lang w:val="zh-CN"/>
          <w14:textFill>
            <w14:solidFill>
              <w14:schemeClr w14:val="tx1"/>
            </w14:solidFill>
          </w14:textFill>
        </w:rPr>
      </w:pP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1.1 </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购货单位</w:t>
      </w:r>
      <w:r>
        <w:rPr>
          <w:rFonts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系江苏昆山农村商业银行股份有限公司，本合同简称“甲方”。</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1.2 </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供货单位</w:t>
      </w:r>
      <w:r>
        <w:rPr>
          <w:rFonts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系                 ，本合同简称“乙方”。</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“合同”</w:t>
      </w:r>
      <w:r>
        <w:rPr>
          <w:rFonts w:hint="eastAsia" w:ascii="宋体" w:hAnsi="宋体"/>
          <w:color w:val="000000" w:themeColor="text1"/>
          <w:sz w:val="24"/>
          <w14:textFill>
            <w14:solidFill>
              <w14:schemeClr w14:val="tx1"/>
            </w14:solidFill>
          </w14:textFill>
        </w:rPr>
        <w:t>系指经甲乙双方协商一致并签署所有协议，包括所有的附件、附录和构成合同的所有文件。</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“合同价”</w:t>
      </w:r>
      <w:r>
        <w:rPr>
          <w:rFonts w:hint="eastAsia" w:ascii="宋体" w:hAnsi="宋体"/>
          <w:color w:val="000000" w:themeColor="text1"/>
          <w:sz w:val="24"/>
          <w14:textFill>
            <w14:solidFill>
              <w14:schemeClr w14:val="tx1"/>
            </w14:solidFill>
          </w14:textFill>
        </w:rPr>
        <w:t>系指根据合同约定，乙方在正确地完全履行合同义务后甲方应支付给乙方的价款。</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“商业秘密”</w:t>
      </w:r>
      <w:r>
        <w:rPr>
          <w:rFonts w:hint="eastAsia" w:ascii="宋体" w:hAnsi="宋体"/>
          <w:color w:val="000000" w:themeColor="text1"/>
          <w:sz w:val="24"/>
          <w14:textFill>
            <w14:solidFill>
              <w14:schemeClr w14:val="tx1"/>
            </w14:solidFill>
          </w14:textFill>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pPr>
        <w:tabs>
          <w:tab w:val="left" w:pos="454"/>
        </w:tabs>
        <w:spacing w:line="360" w:lineRule="auto"/>
        <w:ind w:left="454" w:hanging="454"/>
        <w:rPr>
          <w:rFonts w:ascii="宋体" w:hAnsi="宋体"/>
          <w:color w:val="000000" w:themeColor="text1"/>
          <w:sz w:val="24"/>
          <w14:textFill>
            <w14:solidFill>
              <w14:schemeClr w14:val="tx1"/>
            </w14:solidFill>
          </w14:textFill>
        </w:rPr>
      </w:pP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 w:name="_Toc505620442"/>
      <w:r>
        <w:rPr>
          <w:rFonts w:hint="eastAsia" w:ascii="宋体" w:hAnsi="宋体" w:eastAsia="宋体"/>
          <w:color w:val="000000" w:themeColor="text1"/>
          <w:sz w:val="24"/>
          <w14:textFill>
            <w14:solidFill>
              <w14:schemeClr w14:val="tx1"/>
            </w14:solidFill>
          </w14:textFill>
        </w:rPr>
        <w:t>第二条：产品的名称、品种、规格</w:t>
      </w:r>
      <w:bookmarkEnd w:id="1"/>
    </w:p>
    <w:p>
      <w:pPr>
        <w:rPr>
          <w:color w:val="000000" w:themeColor="text1"/>
          <w:lang w:val="zh-CN"/>
          <w14:textFill>
            <w14:solidFill>
              <w14:schemeClr w14:val="tx1"/>
            </w14:solidFill>
          </w14:textFill>
        </w:rPr>
      </w:pP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2.1.甲方从乙方采购货物的名称、品牌、规格、型号、单价、数量、金额等以附件一《采购清单》为准。采购清单由甲乙双方另行共同制作确认，作为本合同的附件。</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2.2.甲方指定</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为采购联系人,联系方式</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2.3.乙方指定</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为采购联系人,联系方式</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2" w:name="_Toc505620443"/>
      <w:r>
        <w:rPr>
          <w:rFonts w:hint="eastAsia" w:ascii="宋体" w:hAnsi="宋体" w:eastAsia="宋体"/>
          <w:color w:val="000000" w:themeColor="text1"/>
          <w:sz w:val="24"/>
          <w14:textFill>
            <w14:solidFill>
              <w14:schemeClr w14:val="tx1"/>
            </w14:solidFill>
          </w14:textFill>
        </w:rPr>
        <w:t>第三条：质量标准</w:t>
      </w:r>
      <w:bookmarkEnd w:id="2"/>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甲乙双方对技术标准（包括质量要求）、安装标准有特殊要求的或乙方提供样品的，除满足上述条款约定外，不得低于双方约定的或样品的质量标准。</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 w:name="_Toc505620444"/>
      <w:r>
        <w:rPr>
          <w:rFonts w:hint="eastAsia" w:ascii="宋体" w:hAnsi="宋体" w:eastAsia="宋体"/>
          <w:color w:val="000000" w:themeColor="text1"/>
          <w:sz w:val="24"/>
          <w14:textFill>
            <w14:solidFill>
              <w14:schemeClr w14:val="tx1"/>
            </w14:solidFill>
          </w14:textFill>
        </w:rPr>
        <w:t>第四条：产品发货和运输费用</w:t>
      </w:r>
      <w:bookmarkEnd w:id="3"/>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4.1本次购买的产品由 （□甲方  █乙方 □第三方）发货。货物运输费用、保险费用及其他交付前产生的、未在合同中列明的费用均由乙方承担。</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4" w:name="_Toc505620445"/>
      <w:r>
        <w:rPr>
          <w:rFonts w:hint="eastAsia" w:ascii="宋体" w:hAnsi="宋体" w:eastAsia="宋体"/>
          <w:color w:val="000000" w:themeColor="text1"/>
          <w:sz w:val="24"/>
          <w14:textFill>
            <w14:solidFill>
              <w14:schemeClr w14:val="tx1"/>
            </w14:solidFill>
          </w14:textFill>
        </w:rPr>
        <w:t>第五条：交货期限和到达地点</w:t>
      </w:r>
      <w:bookmarkEnd w:id="4"/>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5.1.乙方应在本合同生效之日起</w:t>
      </w:r>
      <w:r>
        <w:rPr>
          <w:rFonts w:hint="eastAsia" w:ascii="宋体" w:hAnsi="宋体"/>
          <w:color w:val="000000" w:themeColor="text1"/>
          <w:sz w:val="24"/>
          <w:u w:val="single"/>
          <w14:textFill>
            <w14:solidFill>
              <w14:schemeClr w14:val="tx1"/>
            </w14:solidFill>
          </w14:textFill>
        </w:rPr>
        <w:t xml:space="preserve"> 30</w:t>
      </w:r>
      <w:r>
        <w:rPr>
          <w:rFonts w:hint="eastAsia" w:ascii="宋体" w:hAnsi="宋体"/>
          <w:color w:val="000000" w:themeColor="text1"/>
          <w:sz w:val="24"/>
          <w14:textFill>
            <w14:solidFill>
              <w14:schemeClr w14:val="tx1"/>
            </w14:solidFill>
          </w14:textFill>
        </w:rPr>
        <w:t>日内将货物送至甲方指定地点</w:t>
      </w:r>
      <w:r>
        <w:rPr>
          <w:rFonts w:hint="eastAsia" w:ascii="宋体" w:hAnsi="宋体"/>
          <w:color w:val="000000" w:themeColor="text1"/>
          <w:sz w:val="24"/>
          <w:u w:val="single"/>
          <w14:textFill>
            <w14:solidFill>
              <w14:schemeClr w14:val="tx1"/>
            </w14:solidFill>
          </w14:textFill>
        </w:rPr>
        <w:t>昆山市花桥镇中城商务广场3号楼昆山农村商业银行3F</w:t>
      </w:r>
      <w:r>
        <w:rPr>
          <w:rFonts w:hint="eastAsia" w:ascii="宋体" w:hAnsi="宋体"/>
          <w:color w:val="000000" w:themeColor="text1"/>
          <w:sz w:val="24"/>
          <w14:textFill>
            <w14:solidFill>
              <w14:schemeClr w14:val="tx1"/>
            </w14:solidFill>
          </w14:textFill>
        </w:rPr>
        <w:t>。</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5.2乙方应将所售货物的装箱清单、用户手册、货物说明书、原厂保修卡、随机资料及配件、合格证明、检验报告、随机工具等随货物一并交付甲方。</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5.3乙方应于交货前</w:t>
      </w:r>
      <w:r>
        <w:rPr>
          <w:rFonts w:hint="eastAsia"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个工作日通知甲方做好交货准备。</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5" w:name="_Toc505620446"/>
      <w:r>
        <w:rPr>
          <w:rFonts w:hint="eastAsia" w:ascii="宋体" w:hAnsi="宋体" w:eastAsia="宋体"/>
          <w:color w:val="000000" w:themeColor="text1"/>
          <w:sz w:val="24"/>
          <w14:textFill>
            <w14:solidFill>
              <w14:schemeClr w14:val="tx1"/>
            </w14:solidFill>
          </w14:textFill>
        </w:rPr>
        <w:t>第六条：产品的包装标准和包装物的供应和回收</w:t>
      </w:r>
      <w:bookmarkEnd w:id="5"/>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 货物有原厂包装的，应采用原厂包装。</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6" w:name="_Toc505620447"/>
      <w:r>
        <w:rPr>
          <w:rFonts w:hint="eastAsia" w:ascii="宋体" w:hAnsi="宋体" w:eastAsia="宋体"/>
          <w:color w:val="000000" w:themeColor="text1"/>
          <w:sz w:val="24"/>
          <w14:textFill>
            <w14:solidFill>
              <w14:schemeClr w14:val="tx1"/>
            </w14:solidFill>
          </w14:textFill>
        </w:rPr>
        <w:t>第七条：设备安装和测试</w:t>
      </w:r>
      <w:bookmarkEnd w:id="6"/>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 乙方负责免费安装及调试。</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乙方应于交付后</w:t>
      </w:r>
      <w:r>
        <w:rPr>
          <w:rFonts w:hint="eastAsia" w:ascii="宋体" w:hAnsi="宋体"/>
          <w:color w:val="000000" w:themeColor="text1"/>
          <w:sz w:val="24"/>
          <w:u w:val="single"/>
          <w14:textFill>
            <w14:solidFill>
              <w14:schemeClr w14:val="tx1"/>
            </w14:solidFill>
          </w14:textFill>
        </w:rPr>
        <w:t>10个工作日</w:t>
      </w:r>
      <w:r>
        <w:rPr>
          <w:rFonts w:hint="eastAsia" w:ascii="宋体" w:hAnsi="宋体"/>
          <w:color w:val="000000" w:themeColor="text1"/>
          <w:sz w:val="24"/>
          <w14:textFill>
            <w14:solidFill>
              <w14:schemeClr w14:val="tx1"/>
            </w14:solidFill>
          </w14:textFill>
        </w:rPr>
        <w:t>内安装调试完毕；如货物交付后尚不具备安装调试条件的，安装调试日期由甲方另行确定并通知乙方，乙方负责在</w:t>
      </w:r>
      <w:r>
        <w:rPr>
          <w:rFonts w:hint="eastAsia" w:ascii="宋体" w:hAnsi="宋体"/>
          <w:color w:val="000000" w:themeColor="text1"/>
          <w:sz w:val="24"/>
          <w:u w:val="single"/>
          <w14:textFill>
            <w14:solidFill>
              <w14:schemeClr w14:val="tx1"/>
            </w14:solidFill>
          </w14:textFill>
        </w:rPr>
        <w:t>10个工作日</w:t>
      </w:r>
      <w:r>
        <w:rPr>
          <w:rFonts w:hint="eastAsia" w:ascii="宋体" w:hAnsi="宋体"/>
          <w:color w:val="000000" w:themeColor="text1"/>
          <w:sz w:val="24"/>
          <w14:textFill>
            <w14:solidFill>
              <w14:schemeClr w14:val="tx1"/>
            </w14:solidFill>
          </w14:textFill>
        </w:rPr>
        <w:t>内安装调试完毕。</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 乙方应严密组织，精心施工，确保安装调试过程中甲方人身及财产安全和货物安全。</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 乙方安装调试时，甲方应给予必要的协助。</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7" w:name="_Toc505620448"/>
      <w:r>
        <w:rPr>
          <w:rFonts w:hint="eastAsia" w:ascii="宋体" w:hAnsi="宋体" w:eastAsia="宋体"/>
          <w:color w:val="000000" w:themeColor="text1"/>
          <w:sz w:val="24"/>
          <w14:textFill>
            <w14:solidFill>
              <w14:schemeClr w14:val="tx1"/>
            </w14:solidFill>
          </w14:textFill>
        </w:rPr>
        <w:t>第八条：验收和提出异议</w:t>
      </w:r>
      <w:bookmarkEnd w:id="7"/>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8.1验收标准及方法：</w:t>
      </w:r>
    </w:p>
    <w:tbl>
      <w:tblPr>
        <w:tblStyle w:val="15"/>
        <w:tblW w:w="6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1" w:type="dxa"/>
          </w:tcPr>
          <w:p>
            <w:pPr>
              <w:pStyle w:val="33"/>
              <w:widowControl/>
              <w:autoSpaceDE w:val="0"/>
              <w:autoSpaceDN w:val="0"/>
              <w:spacing w:line="360" w:lineRule="auto"/>
              <w:ind w:firstLine="0" w:firstLineChars="0"/>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验收方法</w:t>
            </w:r>
          </w:p>
        </w:tc>
        <w:tc>
          <w:tcPr>
            <w:tcW w:w="4657" w:type="dxa"/>
          </w:tcPr>
          <w:p>
            <w:pPr>
              <w:pStyle w:val="33"/>
              <w:widowControl/>
              <w:autoSpaceDE w:val="0"/>
              <w:autoSpaceDN w:val="0"/>
              <w:spacing w:line="360" w:lineRule="auto"/>
              <w:ind w:firstLine="0" w:firstLineChars="0"/>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Merge w:val="restart"/>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□开箱验收</w:t>
            </w:r>
          </w:p>
        </w:tc>
        <w:tc>
          <w:tcPr>
            <w:tcW w:w="4657"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⑴设备包装、外观有异常、无破损；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Merge w:val="continue"/>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p>
        </w:tc>
        <w:tc>
          <w:tcPr>
            <w:tcW w:w="4657"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⑵品牌(商标)、规格(型号)、数量与合同规定相符相符。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1"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■试运行验收</w:t>
            </w:r>
          </w:p>
        </w:tc>
        <w:tc>
          <w:tcPr>
            <w:tcW w:w="4657"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达到合同条款所规定的要求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1"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□其他____</w:t>
            </w:r>
          </w:p>
        </w:tc>
        <w:tc>
          <w:tcPr>
            <w:tcW w:w="4657" w:type="dxa"/>
            <w:vAlign w:val="center"/>
          </w:tcPr>
          <w:p>
            <w:pPr>
              <w:pStyle w:val="33"/>
              <w:widowControl/>
              <w:autoSpaceDE w:val="0"/>
              <w:autoSpaceDN w:val="0"/>
              <w:spacing w:line="360" w:lineRule="auto"/>
              <w:ind w:firstLine="0" w:firstLineChars="0"/>
              <w:jc w:val="left"/>
              <w:rPr>
                <w:rFonts w:ascii="宋体" w:hAnsi="宋体"/>
                <w:color w:val="000000" w:themeColor="text1"/>
                <w:sz w:val="22"/>
                <w:szCs w:val="20"/>
                <w14:textFill>
                  <w14:solidFill>
                    <w14:schemeClr w14:val="tx1"/>
                  </w14:solidFill>
                </w14:textFill>
              </w:rPr>
            </w:pPr>
          </w:p>
        </w:tc>
      </w:tr>
    </w:tbl>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8.2在全部货物安装完成后，乙方向甲方提出验收，甲方应在</w:t>
      </w:r>
      <w:r>
        <w:rPr>
          <w:rFonts w:hint="eastAsia"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个工作日内组织开始验收。</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8.4验收不合格的货物，乙方负责无条件更换，因此产生的费用由乙方承担。验收通过后双方签订验收单，验收单必须清楚注明货物相关合同并且说明货物是否全部验收完毕。</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8" w:name="_Toc505620449"/>
      <w:r>
        <w:rPr>
          <w:rFonts w:hint="eastAsia" w:ascii="宋体" w:hAnsi="宋体" w:eastAsia="宋体"/>
          <w:color w:val="000000" w:themeColor="text1"/>
          <w:sz w:val="24"/>
          <w14:textFill>
            <w14:solidFill>
              <w14:schemeClr w14:val="tx1"/>
            </w14:solidFill>
          </w14:textFill>
        </w:rPr>
        <w:t>第九条：售后服务</w:t>
      </w:r>
      <w:bookmarkEnd w:id="8"/>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该设备的服务类型为：</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■原厂质量保证售后服务</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乙方需向甲方提供所采购设备的原厂质保函。服务内容详见附件三《设备维保服务内容》。</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保修期限：</w:t>
      </w:r>
      <w:r>
        <w:rPr>
          <w:rFonts w:hint="eastAsia" w:ascii="宋体" w:hAnsi="宋体"/>
          <w:color w:val="000000" w:themeColor="text1"/>
          <w:sz w:val="24"/>
          <w:szCs w:val="20"/>
          <w:u w:val="single"/>
          <w14:textFill>
            <w14:solidFill>
              <w14:schemeClr w14:val="tx1"/>
            </w14:solidFill>
          </w14:textFill>
        </w:rPr>
        <w:t xml:space="preserve"> </w:t>
      </w:r>
      <w:r>
        <w:rPr>
          <w:rFonts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年</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并且保修期不少于国家的相关规定。 </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起算日：□开票日       </w:t>
      </w:r>
      <w:r>
        <w:rPr>
          <w:rFonts w:ascii="宋体" w:hAnsi="宋体"/>
          <w:color w:val="000000" w:themeColor="text1"/>
          <w:sz w:val="24"/>
          <w:szCs w:val="20"/>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□收货之日   </w:t>
      </w:r>
      <w:r>
        <w:rPr>
          <w:rFonts w:ascii="宋体" w:hAnsi="宋体"/>
          <w:color w:val="000000" w:themeColor="text1"/>
          <w:sz w:val="24"/>
          <w:szCs w:val="20"/>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■验收合格之日（以验收单日期为准）   □其他</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故障报修响应时间：详见附件三《设备维保服务内容》。</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费用：■全免（已包含在货款内） □其他</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其他：</w:t>
      </w:r>
      <w:r>
        <w:rPr>
          <w:rFonts w:hint="eastAsia" w:ascii="宋体" w:hAnsi="宋体"/>
          <w:color w:val="000000" w:themeColor="text1"/>
          <w:sz w:val="24"/>
          <w:szCs w:val="20"/>
          <w:u w:val="single"/>
          <w14:textFill>
            <w14:solidFill>
              <w14:schemeClr w14:val="tx1"/>
            </w14:solidFill>
          </w14:textFill>
        </w:rPr>
        <w:t>免费提供配件更换</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联系方式：</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乙方电话：     商务联系人:</w:t>
      </w:r>
      <w:r>
        <w:rPr>
          <w:rFonts w:ascii="宋体" w:hAnsi="宋体"/>
          <w:color w:val="000000" w:themeColor="text1"/>
          <w:sz w:val="24"/>
          <w:szCs w:val="20"/>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技术支持热线：    技术联系人: </w:t>
      </w:r>
      <w:r>
        <w:rPr>
          <w:rFonts w:ascii="宋体" w:hAnsi="宋体"/>
          <w:color w:val="000000" w:themeColor="text1"/>
          <w:sz w:val="24"/>
          <w:szCs w:val="20"/>
          <w14:textFill>
            <w14:solidFill>
              <w14:schemeClr w14:val="tx1"/>
            </w14:solidFill>
          </w14:textFill>
        </w:rPr>
        <w:t xml:space="preserve">   </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乙方保证上述电话24小时有人接听并立刻响应，若上述人员发生变更的，乙方应及时通知甲方。</w:t>
      </w: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□乙方技术支持服务</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服务期限：</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乙方对货物提供为期的免费维保服务，维护期为到。免费维护期外，维护合同另行签署，乙方承诺维护年费不超过本合同金额</w:t>
      </w:r>
      <w:r>
        <w:rPr>
          <w:rFonts w:hint="eastAsia" w:ascii="宋体" w:hAnsi="宋体"/>
          <w:color w:val="000000" w:themeColor="text1"/>
          <w:sz w:val="24"/>
          <w:szCs w:val="20"/>
          <w:u w:val="single"/>
          <w14:textFill>
            <w14:solidFill>
              <w14:schemeClr w14:val="tx1"/>
            </w14:solidFill>
          </w14:textFill>
        </w:rPr>
        <w:t xml:space="preserve"> 10 </w:t>
      </w:r>
      <w:r>
        <w:rPr>
          <w:rFonts w:hint="eastAsia" w:ascii="宋体" w:hAnsi="宋体"/>
          <w:color w:val="000000" w:themeColor="text1"/>
          <w:sz w:val="24"/>
          <w:szCs w:val="20"/>
          <w14:textFill>
            <w14:solidFill>
              <w14:schemeClr w14:val="tx1"/>
            </w14:solidFill>
          </w14:textFill>
        </w:rPr>
        <w:t>%。如有其他协议，可参照其他协议。</w:t>
      </w:r>
    </w:p>
    <w:p>
      <w:pPr>
        <w:pStyle w:val="33"/>
        <w:widowControl/>
        <w:numPr>
          <w:ilvl w:val="0"/>
          <w:numId w:val="2"/>
        </w:numPr>
        <w:pBdr>
          <w:top w:val="single" w:color="auto" w:sz="4" w:space="1"/>
          <w:left w:val="single" w:color="auto" w:sz="4" w:space="4"/>
          <w:bottom w:val="single" w:color="auto" w:sz="4" w:space="1"/>
          <w:right w:val="single" w:color="auto" w:sz="4" w:space="4"/>
        </w:pBdr>
        <w:spacing w:line="400" w:lineRule="exact"/>
        <w:ind w:firstLineChars="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服务内容：</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在本合同生效后，乙方应立即对甲方所维护的设备进行全面检查测试，并记录在案，双方确认。如有故障应立即排除，然后检查系统错误（故障）的历史记录，维修所需备件费用和设备维修的技术服务费由乙方承担。</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对甲方的所有维护设备及软件，乙方均根据每次故障维修报告和预防性维护报告建立技术档案，详细记录设备型号、故障时间、故障类型、维护方法、维护质量、预防措施及维护时间和维护人员等信息。</w:t>
      </w:r>
    </w:p>
    <w:p>
      <w:pPr>
        <w:pStyle w:val="33"/>
        <w:widowControl/>
        <w:pBdr>
          <w:top w:val="single" w:color="auto" w:sz="4" w:space="1"/>
          <w:left w:val="single" w:color="auto" w:sz="4" w:space="4"/>
          <w:bottom w:val="single" w:color="auto" w:sz="4" w:space="1"/>
          <w:right w:val="single" w:color="auto" w:sz="4" w:space="4"/>
        </w:pBdr>
        <w:spacing w:line="400" w:lineRule="exact"/>
        <w:ind w:left="1260" w:firstLine="48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每次巡检结束后的七个工作日，乙方将本次的维护报告(盖好公司章)提交给甲方，以备甲方了解设备运行和维护情况，并总结经验找出存在问题，为双方进一步合作打下基础。</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9" w:name="_Toc505620450"/>
      <w:r>
        <w:rPr>
          <w:rFonts w:hint="eastAsia" w:ascii="宋体" w:hAnsi="宋体" w:eastAsia="宋体"/>
          <w:color w:val="000000" w:themeColor="text1"/>
          <w:sz w:val="24"/>
          <w14:textFill>
            <w14:solidFill>
              <w14:schemeClr w14:val="tx1"/>
            </w14:solidFill>
          </w14:textFill>
        </w:rPr>
        <w:t>第十条：培训</w:t>
      </w:r>
      <w:bookmarkEnd w:id="9"/>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10.1免费维护期内，</w:t>
      </w:r>
      <w:bookmarkStart w:id="10" w:name="OLE_LINK2"/>
      <w:bookmarkStart w:id="11" w:name="OLE_LINK1"/>
      <w:r>
        <w:rPr>
          <w:rFonts w:hint="eastAsia" w:ascii="宋体" w:hAnsi="宋体"/>
          <w:color w:val="000000" w:themeColor="text1"/>
          <w:sz w:val="24"/>
          <w14:textFill>
            <w14:solidFill>
              <w14:schemeClr w14:val="tx1"/>
            </w14:solidFill>
          </w14:textFill>
        </w:rPr>
        <w:t>乙方应配合甲方进行</w:t>
      </w:r>
      <w:r>
        <w:rPr>
          <w:rFonts w:hint="eastAsia" w:ascii="宋体" w:hAnsi="宋体"/>
          <w:color w:val="000000" w:themeColor="text1"/>
          <w:sz w:val="24"/>
          <w:u w:val="single"/>
          <w14:textFill>
            <w14:solidFill>
              <w14:schemeClr w14:val="tx1"/>
            </w14:solidFill>
          </w14:textFill>
        </w:rPr>
        <w:t>两</w:t>
      </w:r>
      <w:r>
        <w:rPr>
          <w:rFonts w:hint="eastAsia" w:ascii="宋体" w:hAnsi="宋体"/>
          <w:color w:val="000000" w:themeColor="text1"/>
          <w:sz w:val="24"/>
          <w14:textFill>
            <w14:solidFill>
              <w14:schemeClr w14:val="tx1"/>
            </w14:solidFill>
          </w14:textFill>
        </w:rPr>
        <w:t>次不低于</w:t>
      </w:r>
      <w:r>
        <w:rPr>
          <w:rFonts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的免费技术培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0"/>
      <w:bookmarkEnd w:id="11"/>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2" w:name="_Toc505620451"/>
      <w:r>
        <w:rPr>
          <w:rFonts w:hint="eastAsia" w:ascii="宋体" w:hAnsi="宋体" w:eastAsia="宋体"/>
          <w:color w:val="000000" w:themeColor="text1"/>
          <w:sz w:val="24"/>
          <w14:textFill>
            <w14:solidFill>
              <w14:schemeClr w14:val="tx1"/>
            </w14:solidFill>
          </w14:textFill>
        </w:rPr>
        <w:t>第十一条：产品的价格和货款的结算</w:t>
      </w:r>
      <w:bookmarkEnd w:id="12"/>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11.1本合同总金额为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，即人民币</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（大写）。该总金额为乙方的含增值税价格，甲方无需向乙方另行支付相关增值税及附加税费金额。包括但不限于:</w:t>
      </w:r>
    </w:p>
    <w:p>
      <w:pPr>
        <w:pStyle w:val="28"/>
        <w:numPr>
          <w:ilvl w:val="0"/>
          <w:numId w:val="3"/>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交付、安装部署费</w:t>
      </w:r>
    </w:p>
    <w:p>
      <w:pPr>
        <w:pStyle w:val="28"/>
        <w:numPr>
          <w:ilvl w:val="0"/>
          <w:numId w:val="3"/>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产品运输费</w:t>
      </w:r>
    </w:p>
    <w:p>
      <w:pPr>
        <w:pStyle w:val="28"/>
        <w:numPr>
          <w:ilvl w:val="0"/>
          <w:numId w:val="3"/>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实施过程中产生的其他费用</w:t>
      </w:r>
    </w:p>
    <w:p>
      <w:pPr>
        <w:pStyle w:val="28"/>
        <w:numPr>
          <w:ilvl w:val="0"/>
          <w:numId w:val="3"/>
        </w:numPr>
        <w:spacing w:line="360" w:lineRule="auto"/>
        <w:ind w:firstLineChars="0"/>
        <w:rPr>
          <w:rFonts w:ascii="宋体" w:hAnsi="宋体"/>
          <w:color w:val="000000" w:themeColor="text1"/>
          <w:sz w:val="24"/>
          <w14:textFill>
            <w14:solidFill>
              <w14:schemeClr w14:val="tx1"/>
            </w14:solidFill>
          </w14:textFill>
        </w:rPr>
      </w:pPr>
    </w:p>
    <w:p>
      <w:pPr>
        <w:tabs>
          <w:tab w:val="left" w:pos="454"/>
        </w:tabs>
        <w:spacing w:line="360" w:lineRule="auto"/>
        <w:ind w:left="454" w:hanging="45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11.2合同价款的支付条件及支付比例，按以下方式执行：</w:t>
      </w:r>
    </w:p>
    <w:p>
      <w:pPr>
        <w:tabs>
          <w:tab w:val="left" w:pos="454"/>
        </w:tabs>
        <w:spacing w:line="360" w:lineRule="auto"/>
        <w:ind w:left="454" w:hanging="454"/>
        <w:rPr>
          <w:rFonts w:ascii="宋体" w:hAnsi="宋体"/>
          <w:color w:val="000000" w:themeColor="text1"/>
          <w:sz w:val="24"/>
          <w14:textFill>
            <w14:solidFill>
              <w14:schemeClr w14:val="tx1"/>
            </w14:solidFill>
          </w14:textFill>
        </w:rPr>
      </w:pPr>
    </w:p>
    <w:tbl>
      <w:tblPr>
        <w:tblStyle w:val="15"/>
        <w:tblW w:w="8450"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2694"/>
        <w:gridCol w:w="1842"/>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355"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阶段</w:t>
            </w:r>
          </w:p>
        </w:tc>
        <w:tc>
          <w:tcPr>
            <w:tcW w:w="2694"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付款条件</w:t>
            </w:r>
          </w:p>
        </w:tc>
        <w:tc>
          <w:tcPr>
            <w:tcW w:w="1842"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付款比例</w:t>
            </w:r>
          </w:p>
        </w:tc>
        <w:tc>
          <w:tcPr>
            <w:tcW w:w="2559" w:type="dxa"/>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付款金额(元)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完成合同</w:t>
            </w:r>
            <w:r>
              <w:rPr>
                <w:rFonts w:ascii="宋体" w:hAnsi="宋体"/>
                <w:color w:val="000000" w:themeColor="text1"/>
                <w:szCs w:val="21"/>
                <w14:textFill>
                  <w14:solidFill>
                    <w14:schemeClr w14:val="tx1"/>
                  </w14:solidFill>
                </w14:textFill>
              </w:rPr>
              <w:t>签订</w:t>
            </w:r>
            <w:r>
              <w:rPr>
                <w:rFonts w:hint="eastAsia" w:ascii="宋体" w:hAnsi="宋体"/>
                <w:color w:val="000000" w:themeColor="text1"/>
                <w:szCs w:val="21"/>
                <w14:textFill>
                  <w14:solidFill>
                    <w14:schemeClr w14:val="tx1"/>
                  </w14:solidFill>
                </w14:textFill>
              </w:rPr>
              <w:t>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个工作日内</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合同总金额的</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ascii="宋体" w:hAnsi="宋体"/>
                <w:color w:val="000000" w:themeColor="text1"/>
                <w:szCs w:val="21"/>
                <w14:textFill>
                  <w14:solidFill>
                    <w14:schemeClr w14:val="tx1"/>
                  </w14:solidFill>
                </w14:textFill>
              </w:rPr>
              <w:t>整</w:t>
            </w:r>
            <w:r>
              <w:rPr>
                <w:rFonts w:hint="eastAsia" w:ascii="宋体" w:hAnsi="宋体"/>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设备到货并经招标方验收确认后，甲方收到有效发票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个工作日内</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合同总金额的</w:t>
            </w:r>
            <w:r>
              <w:rPr>
                <w:rFonts w:hint="eastAsia" w:ascii="宋体" w:hAnsi="宋体"/>
                <w:color w:val="000000" w:themeColor="text1"/>
                <w:szCs w:val="21"/>
                <w:u w:val="single"/>
                <w14:textFill>
                  <w14:solidFill>
                    <w14:schemeClr w14:val="tx1"/>
                  </w14:solidFill>
                </w14:textFill>
              </w:rPr>
              <w:t>50</w:t>
            </w:r>
            <w:r>
              <w:rPr>
                <w:rFonts w:hint="eastAsia"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项目实施完成并经招标方验收合格后，甲方收到有效发票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个工作日内</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合同总金额的</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ascii="宋体" w:hAnsi="宋体"/>
                <w:color w:val="000000" w:themeColor="text1"/>
                <w:szCs w:val="21"/>
                <w14:textFill>
                  <w14:solidFill>
                    <w14:schemeClr w14:val="tx1"/>
                  </w14:solidFill>
                </w14:textFill>
              </w:rPr>
              <w:t>整</w:t>
            </w:r>
            <w:r>
              <w:rPr>
                <w:rFonts w:hint="eastAsia" w:ascii="宋体" w:hAnsi="宋体"/>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4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实施完成并经招标方验收合格</w:t>
            </w:r>
            <w:r>
              <w:rPr>
                <w:rFonts w:hint="eastAsia" w:ascii="宋体" w:hAnsi="宋体"/>
                <w:color w:val="000000" w:themeColor="text1"/>
                <w:szCs w:val="21"/>
                <w14:textFill>
                  <w14:solidFill>
                    <w14:schemeClr w14:val="tx1"/>
                  </w14:solidFill>
                </w14:textFill>
              </w:rPr>
              <w:t>满</w:t>
            </w:r>
            <w:r>
              <w:rPr>
                <w:rFonts w:ascii="宋体" w:hAnsi="宋体"/>
                <w:color w:val="000000" w:themeColor="text1"/>
                <w:szCs w:val="21"/>
                <w14:textFill>
                  <w14:solidFill>
                    <w14:schemeClr w14:val="tx1"/>
                  </w14:solidFill>
                </w14:textFill>
              </w:rPr>
              <w:t>一年后，甲方收到有效发票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工作日</w:t>
            </w:r>
            <w:r>
              <w:rPr>
                <w:rFonts w:hint="eastAsia" w:ascii="宋体" w:hAnsi="宋体"/>
                <w:color w:val="000000" w:themeColor="text1"/>
                <w:szCs w:val="21"/>
                <w14:textFill>
                  <w14:solidFill>
                    <w14:schemeClr w14:val="tx1"/>
                  </w14:solidFill>
                </w14:textFill>
              </w:rPr>
              <w:t>后</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ascii="宋体" w:hAnsi="宋体"/>
                <w:color w:val="000000" w:themeColor="text1"/>
                <w:szCs w:val="21"/>
                <w14:textFill>
                  <w14:solidFill>
                    <w14:schemeClr w14:val="tx1"/>
                  </w14:solidFill>
                </w14:textFill>
              </w:rPr>
              <w:t>总金额的</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5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实施完成并经招标方验收合格</w:t>
            </w:r>
            <w:r>
              <w:rPr>
                <w:rFonts w:hint="eastAsia" w:ascii="宋体" w:hAnsi="宋体"/>
                <w:color w:val="000000" w:themeColor="text1"/>
                <w:szCs w:val="21"/>
                <w14:textFill>
                  <w14:solidFill>
                    <w14:schemeClr w14:val="tx1"/>
                  </w14:solidFill>
                </w14:textFill>
              </w:rPr>
              <w:t>满二</w:t>
            </w:r>
            <w:r>
              <w:rPr>
                <w:rFonts w:ascii="宋体" w:hAnsi="宋体"/>
                <w:color w:val="000000" w:themeColor="text1"/>
                <w:szCs w:val="21"/>
                <w14:textFill>
                  <w14:solidFill>
                    <w14:schemeClr w14:val="tx1"/>
                  </w14:solidFill>
                </w14:textFill>
              </w:rPr>
              <w:t>年后，甲方收到有效发票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工作日</w:t>
            </w:r>
            <w:r>
              <w:rPr>
                <w:rFonts w:hint="eastAsia" w:ascii="宋体" w:hAnsi="宋体"/>
                <w:color w:val="000000" w:themeColor="text1"/>
                <w:szCs w:val="21"/>
                <w14:textFill>
                  <w14:solidFill>
                    <w14:schemeClr w14:val="tx1"/>
                  </w14:solidFill>
                </w14:textFill>
              </w:rPr>
              <w:t>后</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ascii="宋体" w:hAnsi="宋体"/>
                <w:color w:val="000000" w:themeColor="text1"/>
                <w:szCs w:val="21"/>
                <w14:textFill>
                  <w14:solidFill>
                    <w14:schemeClr w14:val="tx1"/>
                  </w14:solidFill>
                </w14:textFill>
              </w:rPr>
              <w:t>总金额的</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实施完成并经招标方验收合格</w:t>
            </w:r>
            <w:r>
              <w:rPr>
                <w:rFonts w:hint="eastAsia" w:ascii="宋体" w:hAnsi="宋体"/>
                <w:color w:val="000000" w:themeColor="text1"/>
                <w:szCs w:val="21"/>
                <w14:textFill>
                  <w14:solidFill>
                    <w14:schemeClr w14:val="tx1"/>
                  </w14:solidFill>
                </w14:textFill>
              </w:rPr>
              <w:t>满三</w:t>
            </w:r>
            <w:r>
              <w:rPr>
                <w:rFonts w:ascii="宋体" w:hAnsi="宋体"/>
                <w:color w:val="000000" w:themeColor="text1"/>
                <w:szCs w:val="21"/>
                <w14:textFill>
                  <w14:solidFill>
                    <w14:schemeClr w14:val="tx1"/>
                  </w14:solidFill>
                </w14:textFill>
              </w:rPr>
              <w:t>年后，甲方收到有效发票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工作日</w:t>
            </w:r>
            <w:r>
              <w:rPr>
                <w:rFonts w:hint="eastAsia" w:ascii="宋体" w:hAnsi="宋体"/>
                <w:color w:val="000000" w:themeColor="text1"/>
                <w:szCs w:val="21"/>
                <w14:textFill>
                  <w14:solidFill>
                    <w14:schemeClr w14:val="tx1"/>
                  </w14:solidFill>
                </w14:textFill>
              </w:rPr>
              <w:t>后</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ascii="宋体" w:hAnsi="宋体"/>
                <w:color w:val="000000" w:themeColor="text1"/>
                <w:szCs w:val="21"/>
                <w14:textFill>
                  <w14:solidFill>
                    <w14:schemeClr w14:val="tx1"/>
                  </w14:solidFill>
                </w14:textFill>
              </w:rPr>
              <w:t>总金额的</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7 </w:t>
            </w:r>
            <w:r>
              <w:rPr>
                <w:rFonts w:hint="eastAsia" w:ascii="宋体" w:hAnsi="宋体"/>
                <w:color w:val="000000" w:themeColor="text1"/>
                <w:szCs w:val="21"/>
                <w14:textFill>
                  <w14:solidFill>
                    <w14:schemeClr w14:val="tx1"/>
                  </w14:solidFill>
                </w14:textFill>
              </w:rPr>
              <w:t>阶段</w:t>
            </w:r>
          </w:p>
          <w:p>
            <w:pPr>
              <w:rPr>
                <w:rFonts w:ascii="宋体" w:hAnsi="宋体"/>
                <w:color w:val="000000" w:themeColor="text1"/>
                <w:szCs w:val="21"/>
                <w14:textFill>
                  <w14:solidFill>
                    <w14:schemeClr w14:val="tx1"/>
                  </w14:solidFill>
                </w14:textFill>
              </w:rPr>
            </w:pP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实施完成并经招标方验收合格</w:t>
            </w:r>
            <w:r>
              <w:rPr>
                <w:rFonts w:hint="eastAsia" w:ascii="宋体" w:hAnsi="宋体"/>
                <w:color w:val="000000" w:themeColor="text1"/>
                <w:szCs w:val="21"/>
                <w14:textFill>
                  <w14:solidFill>
                    <w14:schemeClr w14:val="tx1"/>
                  </w14:solidFill>
                </w14:textFill>
              </w:rPr>
              <w:t>满四</w:t>
            </w:r>
            <w:r>
              <w:rPr>
                <w:rFonts w:ascii="宋体" w:hAnsi="宋体"/>
                <w:color w:val="000000" w:themeColor="text1"/>
                <w:szCs w:val="21"/>
                <w14:textFill>
                  <w14:solidFill>
                    <w14:schemeClr w14:val="tx1"/>
                  </w14:solidFill>
                </w14:textFill>
              </w:rPr>
              <w:t>年后，甲方收到有效发票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工作日</w:t>
            </w:r>
            <w:r>
              <w:rPr>
                <w:rFonts w:hint="eastAsia" w:ascii="宋体" w:hAnsi="宋体"/>
                <w:color w:val="000000" w:themeColor="text1"/>
                <w:szCs w:val="21"/>
                <w14:textFill>
                  <w14:solidFill>
                    <w14:schemeClr w14:val="tx1"/>
                  </w14:solidFill>
                </w14:textFill>
              </w:rPr>
              <w:t>后</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ascii="宋体" w:hAnsi="宋体"/>
                <w:color w:val="000000" w:themeColor="text1"/>
                <w:szCs w:val="21"/>
                <w14:textFill>
                  <w14:solidFill>
                    <w14:schemeClr w14:val="tx1"/>
                  </w14:solidFill>
                </w14:textFill>
              </w:rPr>
              <w:t>总金额的</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5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w:t>
            </w:r>
            <w:r>
              <w:rPr>
                <w:rFonts w:hint="eastAsia" w:ascii="宋体" w:hAnsi="宋体"/>
                <w:color w:val="000000" w:themeColor="text1"/>
                <w:szCs w:val="21"/>
                <w:u w:val="single"/>
                <w14:textFill>
                  <w14:solidFill>
                    <w14:schemeClr w14:val="tx1"/>
                  </w14:solidFill>
                </w14:textFill>
              </w:rPr>
              <w:t xml:space="preserve"> 8 </w:t>
            </w:r>
            <w:r>
              <w:rPr>
                <w:rFonts w:hint="eastAsia" w:ascii="宋体" w:hAnsi="宋体"/>
                <w:color w:val="000000" w:themeColor="text1"/>
                <w:szCs w:val="21"/>
                <w14:textFill>
                  <w14:solidFill>
                    <w14:schemeClr w14:val="tx1"/>
                  </w14:solidFill>
                </w14:textFill>
              </w:rPr>
              <w:t>阶段</w:t>
            </w:r>
          </w:p>
        </w:tc>
        <w:tc>
          <w:tcPr>
            <w:tcW w:w="2694"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实施完成并经招标方验收合格</w:t>
            </w:r>
            <w:r>
              <w:rPr>
                <w:rFonts w:hint="eastAsia" w:ascii="宋体" w:hAnsi="宋体"/>
                <w:color w:val="000000" w:themeColor="text1"/>
                <w:szCs w:val="21"/>
                <w14:textFill>
                  <w14:solidFill>
                    <w14:schemeClr w14:val="tx1"/>
                  </w14:solidFill>
                </w14:textFill>
              </w:rPr>
              <w:t>满五</w:t>
            </w:r>
            <w:r>
              <w:rPr>
                <w:rFonts w:ascii="宋体" w:hAnsi="宋体"/>
                <w:color w:val="000000" w:themeColor="text1"/>
                <w:szCs w:val="21"/>
                <w14:textFill>
                  <w14:solidFill>
                    <w14:schemeClr w14:val="tx1"/>
                  </w14:solidFill>
                </w14:textFill>
              </w:rPr>
              <w:t>年后，甲方收到有效发票</w:t>
            </w:r>
            <w:r>
              <w:rPr>
                <w:rFonts w:hint="eastAsia" w:ascii="宋体" w:hAnsi="宋体"/>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工作日</w:t>
            </w:r>
            <w:r>
              <w:rPr>
                <w:rFonts w:hint="eastAsia" w:ascii="宋体" w:hAnsi="宋体"/>
                <w:color w:val="000000" w:themeColor="text1"/>
                <w:szCs w:val="21"/>
                <w14:textFill>
                  <w14:solidFill>
                    <w14:schemeClr w14:val="tx1"/>
                  </w14:solidFill>
                </w14:textFill>
              </w:rPr>
              <w:t>后</w:t>
            </w:r>
          </w:p>
        </w:tc>
        <w:tc>
          <w:tcPr>
            <w:tcW w:w="1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ascii="宋体" w:hAnsi="宋体"/>
                <w:color w:val="000000" w:themeColor="text1"/>
                <w:szCs w:val="21"/>
                <w14:textFill>
                  <w14:solidFill>
                    <w14:schemeClr w14:val="tx1"/>
                  </w14:solidFill>
                </w14:textFill>
              </w:rPr>
              <w:t>总金额的</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p>
        </w:tc>
        <w:tc>
          <w:tcPr>
            <w:tcW w:w="2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元整)</w:t>
            </w:r>
          </w:p>
        </w:tc>
      </w:tr>
    </w:tbl>
    <w:p>
      <w:pPr>
        <w:pStyle w:val="28"/>
        <w:spacing w:line="360" w:lineRule="auto"/>
        <w:ind w:left="907" w:firstLine="0" w:firstLineChars="0"/>
        <w:rPr>
          <w:rFonts w:ascii="宋体" w:hAnsi="宋体"/>
          <w:color w:val="000000" w:themeColor="text1"/>
          <w:sz w:val="24"/>
          <w14:textFill>
            <w14:solidFill>
              <w14:schemeClr w14:val="tx1"/>
            </w14:solidFill>
          </w14:textFill>
        </w:rPr>
      </w:pP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11.3甲方应将合同款项汇至乙方如下账户：</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账户名称：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开户行：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账号：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11.4如账户发生变更的，乙方应在本合同约定的相应付款期限前</w:t>
      </w:r>
      <w:r>
        <w:rPr>
          <w:rFonts w:ascii="宋体" w:hAnsi="宋体"/>
          <w:color w:val="000000" w:themeColor="text1"/>
          <w:sz w:val="24"/>
          <w:u w:val="single"/>
          <w14:textFill>
            <w14:solidFill>
              <w14:schemeClr w14:val="tx1"/>
            </w14:solidFill>
          </w14:textFill>
        </w:rPr>
        <w:t xml:space="preserve"> 10 </w:t>
      </w:r>
      <w:r>
        <w:rPr>
          <w:rFonts w:hint="eastAsia" w:ascii="宋体" w:hAnsi="宋体"/>
          <w:color w:val="000000" w:themeColor="text1"/>
          <w:sz w:val="24"/>
          <w14:textFill>
            <w14:solidFill>
              <w14:schemeClr w14:val="tx1"/>
            </w14:solidFill>
          </w14:textFill>
        </w:rPr>
        <w:t>个工作日以书面方式通知甲方。</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11.6 乙方向甲方所提供的增值税专用发票，需依据甲方提供的如下信息开具。如以下信息有所修正，甲方应及时以书面或邮件方式通知乙方。</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纳税人名称：江苏昆山农村商业银行股份有限公司</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纳税人国税登记证识别号（“三证合一” 后为统一社会信用代码）：91320500770509049M</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r>
        <w:rPr>
          <w:rFonts w:ascii="宋体" w:hAnsi="宋体"/>
          <w:color w:val="000000" w:themeColor="text1"/>
          <w:sz w:val="24"/>
          <w14:textFill>
            <w14:solidFill>
              <w14:schemeClr w14:val="tx1"/>
            </w14:solidFill>
          </w14:textFill>
        </w:rPr>
        <w:t>7066500521120100002809</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户名：江苏昆山农村商业银行股份有限公司</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开户行：昆山农商银行营业部</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地址：江苏省昆山市前进东路828号</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联系电话：0512-57379236</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11.7 乙方承诺在增值税专用发票开具后</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11.8 乙方需承诺，如乙方不提供或提供不符合上述要求的增值税专用发票，甲方有权延迟支付款项直至取得合乎上述要求的增值税专用发票并且不承担任何违约责任，且乙方仍需按协议约定履行各项义务。</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11.10</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11.11乙方应根据甲方的要求开具符合国家约定的等额有效的增值税专用发票并交付甲方，甲方收到乙方的正式商业发票后，按以上所选方式支付相应的款项，发生的一切税费及其他费用均由乙方负担。</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3" w:name="_Toc505620452"/>
      <w:r>
        <w:rPr>
          <w:rFonts w:hint="eastAsia" w:ascii="宋体" w:hAnsi="宋体" w:eastAsia="宋体"/>
          <w:color w:val="000000" w:themeColor="text1"/>
          <w:sz w:val="24"/>
          <w14:textFill>
            <w14:solidFill>
              <w14:schemeClr w14:val="tx1"/>
            </w14:solidFill>
          </w14:textFill>
        </w:rPr>
        <w:t>第十二条：甲方责任与义务</w:t>
      </w:r>
      <w:bookmarkEnd w:id="13"/>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12.1甲方按照本合同规定按时向乙方支付款项。</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12.2甲方提供设备运行的基础环境，网络线路和其它必要设备，且甲方应确保其提供的基础运行环境满足乙方设备运行要求。</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12.3甲方配合乙方设备的安装、调试工作，包括提供人员和工作场地等配合。</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12.4甲方负责安装调试成功后设备的日常维护工作。</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12.5甲方应遵守本合同《保密协议》及其他相关条款的约定。</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12.6当设备发生故障时，甲方应及时向乙方报告故障现象、错误信息等有关信息，以便乙方及时分析故障，有准备地到现场及时修复设备。</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4" w:name="_Toc505620453"/>
      <w:r>
        <w:rPr>
          <w:rFonts w:hint="eastAsia" w:ascii="宋体" w:hAnsi="宋体" w:eastAsia="宋体"/>
          <w:color w:val="000000" w:themeColor="text1"/>
          <w:sz w:val="24"/>
          <w14:textFill>
            <w14:solidFill>
              <w14:schemeClr w14:val="tx1"/>
            </w14:solidFill>
          </w14:textFill>
        </w:rPr>
        <w:t>第十三条：乙方责任与义务</w:t>
      </w:r>
      <w:bookmarkEnd w:id="14"/>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13.1乙方应遵守本合同《保密协议》及其他相关条款的约定。</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13.2乙方保证所有产品为</w:t>
      </w:r>
      <w:r>
        <w:rPr>
          <w:rFonts w:hint="eastAsia" w:ascii="宋体" w:hAnsi="宋体"/>
          <w:color w:val="000000" w:themeColor="text1"/>
          <w:sz w:val="24"/>
          <w:u w:val="single"/>
          <w14:textFill>
            <w14:solidFill>
              <w14:schemeClr w14:val="tx1"/>
            </w14:solidFill>
          </w14:textFill>
        </w:rPr>
        <w:t>全新、未曾使用过的原厂原装正品</w:t>
      </w:r>
      <w:r>
        <w:rPr>
          <w:rFonts w:hint="eastAsia" w:ascii="宋体" w:hAnsi="宋体"/>
          <w:color w:val="000000" w:themeColor="text1"/>
          <w:sz w:val="24"/>
          <w14:textFill>
            <w14:solidFill>
              <w14:schemeClr w14:val="tx1"/>
            </w14:solidFill>
          </w14:textFill>
        </w:rPr>
        <w:t>。</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Email方式提供应急解决方案，或在确定需要现场服务时，向甲方传真或者Email委派人员名单及处理事项的函。</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13.4确保在需要现场服务时，在收到通知后</w:t>
      </w:r>
      <w:r>
        <w:rPr>
          <w:rFonts w:hint="eastAsia" w:ascii="宋体" w:hAnsi="宋体"/>
          <w:color w:val="000000" w:themeColor="text1"/>
          <w:sz w:val="24"/>
          <w:u w:val="single"/>
          <w14:textFill>
            <w14:solidFill>
              <w14:schemeClr w14:val="tx1"/>
            </w14:solidFill>
          </w14:textFill>
        </w:rPr>
        <w:t>4</w:t>
      </w:r>
      <w:r>
        <w:rPr>
          <w:rFonts w:hint="eastAsia" w:ascii="宋体" w:hAnsi="宋体"/>
          <w:color w:val="000000" w:themeColor="text1"/>
          <w:sz w:val="24"/>
          <w14:textFill>
            <w14:solidFill>
              <w14:schemeClr w14:val="tx1"/>
            </w14:solidFill>
          </w14:textFill>
        </w:rPr>
        <w:t>小时内技术人员到达现场。</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13.5确保在甲方硬件故障时提供应急解决方案以确保甲方业务系统的正常运行。如甲方出现设备故障，确保在</w:t>
      </w:r>
      <w:r>
        <w:rPr>
          <w:rFonts w:hint="eastAsia" w:ascii="宋体" w:hAnsi="宋体"/>
          <w:color w:val="000000" w:themeColor="text1"/>
          <w:sz w:val="24"/>
          <w:u w:val="single"/>
          <w14:textFill>
            <w14:solidFill>
              <w14:schemeClr w14:val="tx1"/>
            </w14:solidFill>
          </w14:textFill>
        </w:rPr>
        <w:t>4</w:t>
      </w:r>
      <w:r>
        <w:rPr>
          <w:rFonts w:hint="eastAsia" w:ascii="宋体" w:hAnsi="宋体"/>
          <w:color w:val="000000" w:themeColor="text1"/>
          <w:sz w:val="24"/>
          <w14:textFill>
            <w14:solidFill>
              <w14:schemeClr w14:val="tx1"/>
            </w14:solidFill>
          </w14:textFill>
        </w:rPr>
        <w:t>小时内提供相关备用设备顶替故障设备恢复甲方业务运行，并负责对损坏设备送修。</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13.7在服务过程中，乙方必须遵守甲方的所有安全管理规定，如违反则责任由乙方承担。</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13.8在技术支持和巡检实施结束后，应将此期间历次经甲方（含甲方经办人员）确认后的维护报告、记录进行总结并装订成册递交甲方。</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13.9如在规定的时间内未能及时排除甲方设备故障，则甲方有权委托其他公司进行故障维修，所涉及的维修费用由乙方承担。</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13.11乙方确保所提供的服务不侵犯任何第三方的正当权益。</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5" w:name="_Toc505620454"/>
      <w:r>
        <w:rPr>
          <w:rFonts w:hint="eastAsia" w:ascii="宋体" w:hAnsi="宋体" w:eastAsia="宋体"/>
          <w:color w:val="000000" w:themeColor="text1"/>
          <w:sz w:val="24"/>
          <w14:textFill>
            <w14:solidFill>
              <w14:schemeClr w14:val="tx1"/>
            </w14:solidFill>
          </w14:textFill>
        </w:rPr>
        <w:t>第十四条：保密条款</w:t>
      </w:r>
      <w:bookmarkEnd w:id="15"/>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接收方同意，在合同谈判和履行过程中可能需要接触、了解透露方的保密信息，这些信息对透露方来说非常重要，一旦泄露，将使透露方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接收方应采取必要的有效措施保证其参与本项目之雇员无论是在职中或离职后都能够履行本合同项下的保密义务。</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14.3 如果接收方违反保密义务，透露方有权立即终止合同并且要求其支付违约金补偿透露方的所有损失，包括但不限于：法院诉讼的费用、合理的律师酬金和费用、所有损失或损害等。</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14.4 凡涉及执行本合同及相关附件所需一切资料均为双方的保密资料，除非经双方书面同意才可作为例外。</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14.5 保密期限商业秘密的保密期限为本合同履行期间及本合同终止后</w:t>
      </w:r>
      <w:r>
        <w:rPr>
          <w:rFonts w:hint="eastAsia" w:ascii="宋体" w:hAnsi="宋体"/>
          <w:color w:val="000000" w:themeColor="text1"/>
          <w:sz w:val="24"/>
          <w:u w:val="single"/>
          <w14:textFill>
            <w14:solidFill>
              <w14:schemeClr w14:val="tx1"/>
            </w14:solidFill>
          </w14:textFill>
        </w:rPr>
        <w:t xml:space="preserve"> 20 </w:t>
      </w:r>
      <w:r>
        <w:rPr>
          <w:rFonts w:hint="eastAsia" w:ascii="宋体" w:hAnsi="宋体"/>
          <w:color w:val="000000" w:themeColor="text1"/>
          <w:sz w:val="24"/>
          <w14:textFill>
            <w14:solidFill>
              <w14:schemeClr w14:val="tx1"/>
            </w14:solidFill>
          </w14:textFill>
        </w:rPr>
        <w:t>年，保密信息已合法进入公知领域除外。</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14.6 本合同终止后，接收方仍应按本合同约定履行保密义务。</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14.7 一方对合同履行过程中获得的另一方的商业秘密负有保密义务，具体见附件《保密协议》。</w:t>
      </w:r>
      <w:bookmarkStart w:id="16" w:name="_Toc299547124"/>
      <w:bookmarkStart w:id="17" w:name="_Toc299548013"/>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18" w:name="_Toc505620455"/>
      <w:r>
        <w:rPr>
          <w:rFonts w:hint="eastAsia" w:ascii="宋体" w:hAnsi="宋体" w:eastAsia="宋体"/>
          <w:color w:val="000000" w:themeColor="text1"/>
          <w:sz w:val="24"/>
          <w14:textFill>
            <w14:solidFill>
              <w14:schemeClr w14:val="tx1"/>
            </w14:solidFill>
          </w14:textFill>
        </w:rPr>
        <w:t>第十五条：违约</w:t>
      </w:r>
      <w:bookmarkEnd w:id="16"/>
      <w:bookmarkEnd w:id="17"/>
      <w:r>
        <w:rPr>
          <w:rFonts w:hint="eastAsia" w:ascii="宋体" w:hAnsi="宋体" w:eastAsia="宋体"/>
          <w:color w:val="000000" w:themeColor="text1"/>
          <w:sz w:val="24"/>
          <w14:textFill>
            <w14:solidFill>
              <w14:schemeClr w14:val="tx1"/>
            </w14:solidFill>
          </w14:textFill>
        </w:rPr>
        <w:t>及赔偿</w:t>
      </w:r>
      <w:bookmarkEnd w:id="18"/>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15.1付款违约：如果甲方未在合同约定的期限内向乙方支付相应的价款，每延迟一日，应向乙方支付相当于合同总金额万分之</w:t>
      </w:r>
      <w:r>
        <w:rPr>
          <w:rFonts w:hint="eastAsia" w:ascii="宋体" w:hAnsi="宋体"/>
          <w:color w:val="000000" w:themeColor="text1"/>
          <w:sz w:val="24"/>
          <w:u w:val="single"/>
          <w14:textFill>
            <w14:solidFill>
              <w14:schemeClr w14:val="tx1"/>
            </w14:solidFill>
          </w14:textFill>
        </w:rPr>
        <w:t>一</w:t>
      </w:r>
      <w:r>
        <w:rPr>
          <w:rFonts w:hint="eastAsia" w:ascii="宋体" w:hAnsi="宋体"/>
          <w:color w:val="000000" w:themeColor="text1"/>
          <w:sz w:val="24"/>
          <w14:textFill>
            <w14:solidFill>
              <w14:schemeClr w14:val="tx1"/>
            </w14:solidFill>
          </w14:textFill>
        </w:rPr>
        <w:t>的违约金，非甲方原因导致的除外。</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15.2交付违约：若乙方未在合同约定的期限内交货并通过验收，每延迟一日，应向甲方支付相当于合同总金额千分之</w:t>
      </w:r>
      <w:r>
        <w:rPr>
          <w:rFonts w:hint="eastAsia" w:ascii="宋体" w:hAnsi="宋体"/>
          <w:color w:val="000000" w:themeColor="text1"/>
          <w:sz w:val="24"/>
          <w:u w:val="single"/>
          <w14:textFill>
            <w14:solidFill>
              <w14:schemeClr w14:val="tx1"/>
            </w14:solidFill>
          </w14:textFill>
        </w:rPr>
        <w:t xml:space="preserve">一 </w:t>
      </w:r>
      <w:r>
        <w:rPr>
          <w:rFonts w:hint="eastAsia" w:ascii="宋体" w:hAnsi="宋体"/>
          <w:color w:val="000000" w:themeColor="text1"/>
          <w:sz w:val="24"/>
          <w14:textFill>
            <w14:solidFill>
              <w14:schemeClr w14:val="tx1"/>
            </w14:solidFill>
          </w14:textFill>
        </w:rPr>
        <w:t>的违约金；由于乙方原因造成验收期延误超过</w:t>
      </w:r>
      <w:r>
        <w:rPr>
          <w:rFonts w:hint="eastAsia" w:ascii="宋体" w:hAnsi="宋体"/>
          <w:color w:val="000000" w:themeColor="text1"/>
          <w:sz w:val="24"/>
          <w:u w:val="single"/>
          <w14:textFill>
            <w14:solidFill>
              <w14:schemeClr w14:val="tx1"/>
            </w14:solidFill>
          </w14:textFill>
        </w:rPr>
        <w:t>30</w:t>
      </w:r>
      <w:r>
        <w:rPr>
          <w:rFonts w:hint="eastAsia" w:ascii="宋体" w:hAnsi="宋体"/>
          <w:color w:val="000000" w:themeColor="text1"/>
          <w:sz w:val="24"/>
          <w14:textFill>
            <w14:solidFill>
              <w14:schemeClr w14:val="tx1"/>
            </w14:solidFill>
          </w14:textFill>
        </w:rPr>
        <w:t>天的，甲方有权解除合同，乙方除支付相应的延迟违约金外，还应向甲方返回已支付的采购费用并向甲方支付合同总额</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%的违约赔偿金。由于甲方的原因推迟验收，如果额外产生费用，所产生的费用由甲方承担。</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技术支持违约：在收到甲方技术支持申请后，未立刻提供电话指导的，应向甲方支付相当于合同总金额百分之一的违约金；在本项目验收合格起至五年后原厂维保期满期间，一个月内发生硬件故障导致宕机达到2次或2次以上，或一个月内发生硬件故障达到5次或5次以上，我行每次将从项目尾款中扣除合同总金额的百分之一作为违约金。</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15.4巡检违约：若未按时在合同约定的期限内为甲方设备提供巡检，每延迟</w:t>
      </w:r>
      <w:r>
        <w:rPr>
          <w:rFonts w:hint="eastAsia" w:ascii="宋体" w:hAnsi="宋体"/>
          <w:color w:val="000000" w:themeColor="text1"/>
          <w:sz w:val="24"/>
          <w:u w:val="single"/>
          <w14:textFill>
            <w14:solidFill>
              <w14:schemeClr w14:val="tx1"/>
            </w14:solidFill>
          </w14:textFill>
        </w:rPr>
        <w:t>一</w:t>
      </w:r>
      <w:r>
        <w:rPr>
          <w:rFonts w:hint="eastAsia" w:ascii="宋体" w:hAnsi="宋体"/>
          <w:color w:val="000000" w:themeColor="text1"/>
          <w:sz w:val="24"/>
          <w14:textFill>
            <w14:solidFill>
              <w14:schemeClr w14:val="tx1"/>
            </w14:solidFill>
          </w14:textFill>
        </w:rPr>
        <w:t>日，应向甲方支付相当于合同总金额万分之</w:t>
      </w:r>
      <w:r>
        <w:rPr>
          <w:rFonts w:hint="eastAsia" w:ascii="宋体" w:hAnsi="宋体"/>
          <w:color w:val="000000" w:themeColor="text1"/>
          <w:sz w:val="24"/>
          <w:u w:val="single"/>
          <w14:textFill>
            <w14:solidFill>
              <w14:schemeClr w14:val="tx1"/>
            </w14:solidFill>
          </w14:textFill>
        </w:rPr>
        <w:t xml:space="preserve">一 </w:t>
      </w:r>
      <w:r>
        <w:rPr>
          <w:rFonts w:hint="eastAsia" w:ascii="宋体" w:hAnsi="宋体"/>
          <w:color w:val="000000" w:themeColor="text1"/>
          <w:sz w:val="24"/>
          <w14:textFill>
            <w14:solidFill>
              <w14:schemeClr w14:val="tx1"/>
            </w14:solidFill>
          </w14:textFill>
        </w:rPr>
        <w:t>的违约金；为甲方设备提供巡检次数未达合同约定的，每少开展一次，应向甲方支付相当于合同总金额百分之</w:t>
      </w:r>
      <w:r>
        <w:rPr>
          <w:rFonts w:hint="eastAsia" w:ascii="宋体" w:hAnsi="宋体"/>
          <w:color w:val="000000" w:themeColor="text1"/>
          <w:sz w:val="24"/>
          <w:u w:val="single"/>
          <w14:textFill>
            <w14:solidFill>
              <w14:schemeClr w14:val="tx1"/>
            </w14:solidFill>
          </w14:textFill>
        </w:rPr>
        <w:t>二</w:t>
      </w:r>
      <w:r>
        <w:rPr>
          <w:rFonts w:hint="eastAsia" w:ascii="宋体" w:hAnsi="宋体"/>
          <w:color w:val="000000" w:themeColor="text1"/>
          <w:sz w:val="24"/>
          <w14:textFill>
            <w14:solidFill>
              <w14:schemeClr w14:val="tx1"/>
            </w14:solidFill>
          </w14:textFill>
        </w:rPr>
        <w:t>的违约金。</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15.5其它条款违约：本合同任何一方违反合同所约定的义务，除本合同另有约定外，违约方应按合同总金额</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%的金额向对方支付违约金。</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15.6最高额度：所有违约金的支付累计不超过本合同总金额的</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w:t>
      </w:r>
      <w:bookmarkStart w:id="19" w:name="_Toc299547125"/>
      <w:bookmarkStart w:id="20" w:name="_Toc299548014"/>
    </w:p>
    <w:bookmarkEnd w:id="19"/>
    <w:bookmarkEnd w:id="20"/>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21" w:name="_Toc505620456"/>
      <w:bookmarkStart w:id="22" w:name="_Toc299547126"/>
      <w:bookmarkStart w:id="23" w:name="_Toc299548015"/>
      <w:r>
        <w:rPr>
          <w:rFonts w:hint="eastAsia" w:ascii="宋体" w:hAnsi="宋体" w:eastAsia="宋体"/>
          <w:color w:val="000000" w:themeColor="text1"/>
          <w:sz w:val="24"/>
          <w14:textFill>
            <w14:solidFill>
              <w14:schemeClr w14:val="tx1"/>
            </w14:solidFill>
          </w14:textFill>
        </w:rPr>
        <w:t>第十六条：合同期限和终止</w:t>
      </w:r>
      <w:bookmarkEnd w:id="21"/>
      <w:bookmarkEnd w:id="22"/>
      <w:bookmarkEnd w:id="23"/>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16.1除非有提前终止的事由出现，本合同有效期截至双方全部履行完成本合同项下的义务时终止。</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16.2本合同一方严重违反其在本合同项下的任何义务，并且未能在对方发出书面通知指明该违约事项后</w:t>
      </w:r>
      <w:r>
        <w:rPr>
          <w:rFonts w:hint="eastAsia" w:ascii="宋体" w:hAnsi="宋体"/>
          <w:color w:val="000000" w:themeColor="text1"/>
          <w:sz w:val="24"/>
          <w:u w:val="single"/>
          <w14:textFill>
            <w14:solidFill>
              <w14:schemeClr w14:val="tx1"/>
            </w14:solidFill>
          </w14:textFill>
        </w:rPr>
        <w:t xml:space="preserve">10 </w:t>
      </w:r>
      <w:r>
        <w:rPr>
          <w:rFonts w:hint="eastAsia" w:ascii="宋体" w:hAnsi="宋体"/>
          <w:color w:val="000000" w:themeColor="text1"/>
          <w:sz w:val="24"/>
          <w14:textFill>
            <w14:solidFill>
              <w14:schemeClr w14:val="tx1"/>
            </w14:solidFill>
          </w14:textFill>
        </w:rPr>
        <w:t>个工作日内改正的，守约方可以在发出书面通知</w:t>
      </w:r>
      <w:r>
        <w:rPr>
          <w:rFonts w:hint="eastAsia" w:ascii="宋体" w:hAnsi="宋体"/>
          <w:color w:val="000000" w:themeColor="text1"/>
          <w:sz w:val="24"/>
          <w:u w:val="single"/>
          <w14:textFill>
            <w14:solidFill>
              <w14:schemeClr w14:val="tx1"/>
            </w14:solidFill>
          </w14:textFill>
        </w:rPr>
        <w:t>15</w:t>
      </w:r>
      <w:r>
        <w:rPr>
          <w:rFonts w:hint="eastAsia" w:ascii="宋体" w:hAnsi="宋体"/>
          <w:color w:val="000000" w:themeColor="text1"/>
          <w:sz w:val="24"/>
          <w14:textFill>
            <w14:solidFill>
              <w14:schemeClr w14:val="tx1"/>
            </w14:solidFill>
          </w14:textFill>
        </w:rPr>
        <w:t>个工作日后终止本合同。</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16.3在乙方违约且采取的任何补救措施无效的情况下，甲方可向乙方发出终止部分或全部合同的书面通知书：</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16.3.1如果乙方未能按合同约定的期限或甲方同意延长的限期内完成到货安装工作的；</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16.3.2乙方在收到甲方发出的违约通知后</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天内，或经甲方书面认可延长的时间内未能纠正其过失；</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16.3.3如果乙方未能履行合同约定的其他义务；</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16.3.4符合法律规定的其他可以终止合同的情况。</w:t>
      </w:r>
      <w:bookmarkStart w:id="24" w:name="_Toc299548016"/>
      <w:bookmarkStart w:id="25" w:name="_Toc299547127"/>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26" w:name="_Toc505620457"/>
      <w:r>
        <w:rPr>
          <w:rFonts w:hint="eastAsia" w:ascii="宋体" w:hAnsi="宋体" w:eastAsia="宋体"/>
          <w:color w:val="000000" w:themeColor="text1"/>
          <w:sz w:val="24"/>
          <w14:textFill>
            <w14:solidFill>
              <w14:schemeClr w14:val="tx1"/>
            </w14:solidFill>
          </w14:textFill>
        </w:rPr>
        <w:t>第十七条：不可抗力</w:t>
      </w:r>
      <w:bookmarkEnd w:id="24"/>
      <w:bookmarkEnd w:id="25"/>
      <w:bookmarkEnd w:id="26"/>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17.1本条所述的“不可抗力”系指那些双方无法控制、不可预见的事件，但不包括乙方的违约或疏忽。这些事件包括：战争、严重火灾、洪水、台风、地震等。</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17.3在不可抗力发生后及其持续期间，双方应尽其可能继续履行其在本合同项下的义务，乙方应在出现这种情况期间保护和确保项目实施安全。乙方应通知甲方其所建议采取的有关保护措施。</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17.4所有本合同要求发出的或按照本合同发出的通知、要求、同意和其他文件应采用书面形式并以当面递交或传真方式发送至对方。</w:t>
      </w:r>
      <w:bookmarkStart w:id="27" w:name="_Toc299548017"/>
      <w:bookmarkStart w:id="28" w:name="_Toc299547128"/>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29" w:name="_Toc505620458"/>
      <w:r>
        <w:rPr>
          <w:rFonts w:hint="eastAsia" w:ascii="宋体" w:hAnsi="宋体" w:eastAsia="宋体"/>
          <w:color w:val="000000" w:themeColor="text1"/>
          <w:sz w:val="24"/>
          <w14:textFill>
            <w14:solidFill>
              <w14:schemeClr w14:val="tx1"/>
            </w14:solidFill>
          </w14:textFill>
        </w:rPr>
        <w:t>第十八条：适用法律和争议解决</w:t>
      </w:r>
      <w:bookmarkEnd w:id="27"/>
      <w:bookmarkEnd w:id="28"/>
      <w:bookmarkEnd w:id="29"/>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18.1本合同的订立、效力、解释、履行和争议的解决适用中华人民共和国法律。</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18.2凡有关本合同或执行本合同中发生的争端，双方应友好协商，协商不成的，双方一致同意由甲方所在地的人民法院进行诉讼。</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18.3在诉讼期间，除正在进行诉讼的部分外，合同其他部分应继续执行，双方继续行使其他部分权利及义务。</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甲方：江苏昆山农村商业银行股份有限公司</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送达地址： 江苏省昆山市前进东路828号</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 215300</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联系电话： </w:t>
      </w:r>
      <w:r>
        <w:rPr>
          <w:rFonts w:ascii="宋体" w:hAnsi="宋体"/>
          <w:color w:val="000000" w:themeColor="text1"/>
          <w:sz w:val="24"/>
          <w14:textFill>
            <w14:solidFill>
              <w14:schemeClr w14:val="tx1"/>
            </w14:solidFill>
          </w14:textFill>
        </w:rPr>
        <w:t xml:space="preserve">            </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送达地址：  </w:t>
      </w:r>
      <w:r>
        <w:rPr>
          <w:rFonts w:ascii="宋体" w:hAnsi="宋体"/>
          <w:color w:val="000000" w:themeColor="text1"/>
          <w:sz w:val="24"/>
          <w14:textFill>
            <w14:solidFill>
              <w14:schemeClr w14:val="tx1"/>
            </w14:solidFill>
          </w14:textFill>
        </w:rPr>
        <w:t xml:space="preserve">                           </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邮编：       </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0" w:name="_Toc505620459"/>
      <w:r>
        <w:rPr>
          <w:rFonts w:hint="eastAsia" w:ascii="宋体" w:hAnsi="宋体" w:eastAsia="宋体"/>
          <w:color w:val="000000" w:themeColor="text1"/>
          <w:sz w:val="24"/>
          <w14:textFill>
            <w14:solidFill>
              <w14:schemeClr w14:val="tx1"/>
            </w14:solidFill>
          </w14:textFill>
        </w:rPr>
        <w:t>第十九条：合同修订</w:t>
      </w:r>
      <w:bookmarkEnd w:id="30"/>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19.1对本合同的任何修改，均需双方按本条约定的程序做出方为有效。</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19.2如果一方修改合同条款，应提前</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个工作日书面通知另一方，经双方协商达成一致后，双方签署《合同变更书》。如果《合同变更书》条款与本合同条款有冲突，应以《合同变更书》条款为准。</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1" w:name="_Toc505620460"/>
      <w:bookmarkStart w:id="32" w:name="_Toc299548019"/>
      <w:bookmarkStart w:id="33" w:name="_Toc299547130"/>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第二十条：合同生效及其它</w:t>
      </w:r>
      <w:bookmarkEnd w:id="31"/>
    </w:p>
    <w:bookmarkEnd w:id="32"/>
    <w:bookmarkEnd w:id="33"/>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20.1合同自双方均盖章之日起生效。</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20.2本合同一式</w:t>
      </w:r>
      <w:r>
        <w:rPr>
          <w:rFonts w:hint="eastAsia" w:ascii="宋体" w:hAnsi="宋体"/>
          <w:color w:val="000000" w:themeColor="text1"/>
          <w:sz w:val="24"/>
          <w:u w:val="single"/>
          <w14:textFill>
            <w14:solidFill>
              <w14:schemeClr w14:val="tx1"/>
            </w14:solidFill>
          </w14:textFill>
        </w:rPr>
        <w:t>伍</w:t>
      </w:r>
      <w:r>
        <w:rPr>
          <w:rFonts w:hint="eastAsia" w:ascii="宋体" w:hAnsi="宋体"/>
          <w:color w:val="000000" w:themeColor="text1"/>
          <w:sz w:val="24"/>
          <w14:textFill>
            <w14:solidFill>
              <w14:schemeClr w14:val="tx1"/>
            </w14:solidFill>
          </w14:textFill>
        </w:rPr>
        <w:t>份，以中文书写，甲方执</w:t>
      </w:r>
      <w:r>
        <w:rPr>
          <w:rFonts w:hint="eastAsia" w:ascii="宋体" w:hAnsi="宋体"/>
          <w:color w:val="000000" w:themeColor="text1"/>
          <w:sz w:val="24"/>
          <w:u w:val="single"/>
          <w14:textFill>
            <w14:solidFill>
              <w14:schemeClr w14:val="tx1"/>
            </w14:solidFill>
          </w14:textFill>
        </w:rPr>
        <w:t>叁</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贰</w:t>
      </w:r>
      <w:r>
        <w:rPr>
          <w:rFonts w:hint="eastAsia" w:ascii="宋体" w:hAnsi="宋体"/>
          <w:color w:val="000000" w:themeColor="text1"/>
          <w:sz w:val="24"/>
          <w14:textFill>
            <w14:solidFill>
              <w14:schemeClr w14:val="tx1"/>
            </w14:solidFill>
          </w14:textFill>
        </w:rPr>
        <w:t>份，具有同等效力。</w:t>
      </w:r>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20.3本合同的附件为本合同不可分割的组成部分，并且与本合同正文的条款具有同等效力。</w:t>
      </w:r>
      <w:bookmarkStart w:id="34" w:name="_Toc299548020"/>
      <w:bookmarkStart w:id="35" w:name="_Toc299547131"/>
    </w:p>
    <w:p>
      <w:pPr>
        <w:spacing w:line="360" w:lineRule="auto"/>
        <w:ind w:left="360" w:hanging="3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20.4合同寄送地址：</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甲方合同联系人：</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甲方合同联系电话：</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甲方合同寄送地址：江苏省昆山市前进东路828号7楼</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乙方合同联系人： </w:t>
      </w:r>
      <w:r>
        <w:rPr>
          <w:rFonts w:ascii="宋体" w:hAnsi="宋体"/>
          <w:color w:val="000000" w:themeColor="text1"/>
          <w:sz w:val="24"/>
          <w14:textFill>
            <w14:solidFill>
              <w14:schemeClr w14:val="tx1"/>
            </w14:solidFill>
          </w14:textFill>
        </w:rPr>
        <w:t xml:space="preserve">     </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乙方合同联系电话：          </w:t>
      </w:r>
    </w:p>
    <w:p>
      <w:pPr>
        <w:spacing w:line="360" w:lineRule="auto"/>
        <w:ind w:left="105" w:leftChars="5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乙方合同寄送地址：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bookmarkEnd w:id="34"/>
    <w:bookmarkEnd w:id="35"/>
    <w:p>
      <w:pPr>
        <w:spacing w:line="360" w:lineRule="auto"/>
        <w:ind w:left="360" w:hanging="360"/>
        <w:rPr>
          <w:rFonts w:ascii="宋体" w:hAnsi="宋体"/>
          <w:color w:val="000000" w:themeColor="text1"/>
          <w:sz w:val="24"/>
          <w14:textFill>
            <w14:solidFill>
              <w14:schemeClr w14:val="tx1"/>
            </w14:solidFill>
          </w14:textFill>
        </w:rPr>
      </w:pPr>
    </w:p>
    <w:p>
      <w:pPr>
        <w:spacing w:line="360" w:lineRule="auto"/>
        <w:ind w:left="360" w:hanging="360"/>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合同附件：</w:t>
      </w:r>
    </w:p>
    <w:p>
      <w:pPr>
        <w:spacing w:line="360" w:lineRule="auto"/>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附件一：《采购清单》</w:t>
      </w:r>
    </w:p>
    <w:p>
      <w:pPr>
        <w:spacing w:line="360" w:lineRule="auto"/>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附件二：《保密协议》</w:t>
      </w:r>
    </w:p>
    <w:p>
      <w:pPr>
        <w:spacing w:line="360" w:lineRule="auto"/>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附件三：《设备维保服务内容》</w:t>
      </w:r>
    </w:p>
    <w:p>
      <w:pPr>
        <w:pStyle w:val="5"/>
        <w:overflowPunct w:val="0"/>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协议签署：</w:t>
      </w:r>
    </w:p>
    <w:p>
      <w:pPr>
        <w:spacing w:line="360" w:lineRule="auto"/>
        <w:rPr>
          <w:rFonts w:ascii="宋体" w:hAnsi="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甲方：江苏昆山农村商业银行        乙方：                             </w:t>
      </w:r>
    </w:p>
    <w:p>
      <w:pPr>
        <w:spacing w:line="500" w:lineRule="exact"/>
        <w:ind w:firstLine="1188" w:firstLineChars="49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股份有限公司</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法定代表人/有权签署人：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（签名或盖章）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                    日期：    年   月  日</w:t>
      </w:r>
    </w:p>
    <w:p>
      <w:pPr>
        <w:rPr>
          <w:rFonts w:ascii="仿宋_GB2312" w:eastAsia="仿宋_GB2312"/>
          <w:color w:val="000000" w:themeColor="text1"/>
          <w:sz w:val="28"/>
          <w:szCs w:val="28"/>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6" w:name="_Toc505620462"/>
      <w:r>
        <w:rPr>
          <w:rFonts w:hint="eastAsia" w:ascii="宋体" w:hAnsi="宋体" w:eastAsia="宋体"/>
          <w:color w:val="000000" w:themeColor="text1"/>
          <w:sz w:val="24"/>
          <w14:textFill>
            <w14:solidFill>
              <w14:schemeClr w14:val="tx1"/>
            </w14:solidFill>
          </w14:textFill>
        </w:rPr>
        <w:t>附件</w:t>
      </w:r>
      <w:r>
        <w:rPr>
          <w:rFonts w:ascii="宋体" w:hAnsi="宋体" w:eastAsia="宋体"/>
          <w:color w:val="000000" w:themeColor="text1"/>
          <w:sz w:val="24"/>
          <w14:textFill>
            <w14:solidFill>
              <w14:schemeClr w14:val="tx1"/>
            </w14:solidFill>
          </w14:textFill>
        </w:rPr>
        <w:t>一</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采购清单</w:t>
      </w:r>
      <w:bookmarkEnd w:id="36"/>
    </w:p>
    <w:tbl>
      <w:tblPr>
        <w:tblStyle w:val="15"/>
        <w:tblW w:w="8429" w:type="dxa"/>
        <w:tblInd w:w="93" w:type="dxa"/>
        <w:tblLayout w:type="fixed"/>
        <w:tblCellMar>
          <w:top w:w="0" w:type="dxa"/>
          <w:left w:w="108" w:type="dxa"/>
          <w:bottom w:w="0" w:type="dxa"/>
          <w:right w:w="108" w:type="dxa"/>
        </w:tblCellMar>
      </w:tblPr>
      <w:tblGrid>
        <w:gridCol w:w="866"/>
        <w:gridCol w:w="850"/>
        <w:gridCol w:w="660"/>
        <w:gridCol w:w="1060"/>
        <w:gridCol w:w="2391"/>
        <w:gridCol w:w="910"/>
        <w:gridCol w:w="846"/>
        <w:gridCol w:w="846"/>
      </w:tblGrid>
      <w:tr>
        <w:tblPrEx>
          <w:tblCellMar>
            <w:top w:w="0" w:type="dxa"/>
            <w:left w:w="108" w:type="dxa"/>
            <w:bottom w:w="0" w:type="dxa"/>
            <w:right w:w="108" w:type="dxa"/>
          </w:tblCellMar>
        </w:tblPrEx>
        <w:trPr>
          <w:trHeight w:val="480" w:hRule="atLeast"/>
        </w:trPr>
        <w:tc>
          <w:tcPr>
            <w:tcW w:w="8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品牌</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规格</w:t>
            </w:r>
          </w:p>
        </w:tc>
        <w:tc>
          <w:tcPr>
            <w:tcW w:w="23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型号参数</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数量</w:t>
            </w: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单价</w:t>
            </w: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r>
      <w:tr>
        <w:tblPrEx>
          <w:tblCellMar>
            <w:top w:w="0" w:type="dxa"/>
            <w:left w:w="108" w:type="dxa"/>
            <w:bottom w:w="0" w:type="dxa"/>
            <w:right w:w="108" w:type="dxa"/>
          </w:tblCellMar>
        </w:tblPrEx>
        <w:trPr>
          <w:trHeight w:val="2160"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2"/>
                <w14:textFill>
                  <w14:solidFill>
                    <w14:schemeClr w14:val="tx1"/>
                  </w14:solidFill>
                </w14:textFill>
              </w:rPr>
            </w:pPr>
            <w:r>
              <w:rPr>
                <w:rFonts w:hint="eastAsia" w:ascii="宋体" w:hAnsi="宋体" w:cs="宋体"/>
                <w:color w:val="000000" w:themeColor="text1"/>
                <w:kern w:val="0"/>
                <w:szCs w:val="22"/>
                <w14:textFill>
                  <w14:solidFill>
                    <w14:schemeClr w14:val="tx1"/>
                  </w14:solidFill>
                </w14:textFill>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2"/>
                <w14:textFill>
                  <w14:solidFill>
                    <w14:schemeClr w14:val="tx1"/>
                  </w14:solidFill>
                </w14:textFill>
              </w:rPr>
            </w:pPr>
          </w:p>
        </w:tc>
        <w:tc>
          <w:tcPr>
            <w:tcW w:w="660"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themeColor="text1"/>
                <w:sz w:val="20"/>
                <w14:textFill>
                  <w14:solidFill>
                    <w14:schemeClr w14:val="tx1"/>
                  </w14:solidFill>
                </w14:textFill>
              </w:rPr>
            </w:pPr>
          </w:p>
        </w:tc>
        <w:tc>
          <w:tcPr>
            <w:tcW w:w="1060"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sz w:val="20"/>
                <w14:textFill>
                  <w14:solidFill>
                    <w14:schemeClr w14:val="tx1"/>
                  </w14:solidFill>
                </w14:textFill>
              </w:rPr>
            </w:pPr>
          </w:p>
        </w:tc>
        <w:tc>
          <w:tcPr>
            <w:tcW w:w="2391"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kern w:val="0"/>
                <w:szCs w:val="22"/>
                <w14:textFill>
                  <w14:solidFill>
                    <w14:schemeClr w14:val="tx1"/>
                  </w14:solidFill>
                </w14:textFill>
              </w:rPr>
            </w:pPr>
          </w:p>
        </w:tc>
        <w:tc>
          <w:tcPr>
            <w:tcW w:w="910" w:type="dxa"/>
            <w:tcBorders>
              <w:top w:val="nil"/>
              <w:left w:val="nil"/>
              <w:bottom w:val="single" w:color="auto" w:sz="4" w:space="0"/>
              <w:right w:val="single" w:color="auto" w:sz="4" w:space="0"/>
            </w:tcBorders>
            <w:noWrap/>
            <w:vAlign w:val="center"/>
          </w:tcPr>
          <w:p>
            <w:pPr>
              <w:widowControl/>
              <w:ind w:right="110"/>
              <w:jc w:val="right"/>
              <w:rPr>
                <w:rFonts w:ascii="宋体" w:hAnsi="宋体" w:cs="宋体"/>
                <w:color w:val="000000" w:themeColor="text1"/>
                <w:kern w:val="0"/>
                <w:szCs w:val="22"/>
                <w14:textFill>
                  <w14:solidFill>
                    <w14:schemeClr w14:val="tx1"/>
                  </w14:solidFill>
                </w14:textFill>
              </w:rPr>
            </w:pPr>
          </w:p>
        </w:tc>
        <w:tc>
          <w:tcPr>
            <w:tcW w:w="8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2"/>
                <w14:textFill>
                  <w14:solidFill>
                    <w14:schemeClr w14:val="tx1"/>
                  </w14:solidFill>
                </w14:textFill>
              </w:rPr>
            </w:pP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2"/>
                <w14:textFill>
                  <w14:solidFill>
                    <w14:schemeClr w14:val="tx1"/>
                  </w14:solidFill>
                </w14:textFill>
              </w:rPr>
            </w:pPr>
          </w:p>
        </w:tc>
      </w:tr>
      <w:tr>
        <w:tblPrEx>
          <w:tblCellMar>
            <w:top w:w="0" w:type="dxa"/>
            <w:left w:w="108" w:type="dxa"/>
            <w:bottom w:w="0" w:type="dxa"/>
            <w:right w:w="108" w:type="dxa"/>
          </w:tblCellMar>
        </w:tblPrEx>
        <w:trPr>
          <w:trHeight w:val="2160" w:hRule="atLeast"/>
        </w:trPr>
        <w:tc>
          <w:tcPr>
            <w:tcW w:w="8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2"/>
                <w14:textFill>
                  <w14:solidFill>
                    <w14:schemeClr w14:val="tx1"/>
                  </w14:solidFill>
                </w14:textFill>
              </w:rPr>
            </w:pPr>
            <w:r>
              <w:rPr>
                <w:rFonts w:hint="eastAsia" w:ascii="宋体" w:hAnsi="宋体" w:cs="宋体"/>
                <w:color w:val="000000" w:themeColor="text1"/>
                <w:kern w:val="0"/>
                <w:szCs w:val="22"/>
                <w14:textFill>
                  <w14:solidFill>
                    <w14:schemeClr w14:val="tx1"/>
                  </w14:solidFill>
                </w14:textFill>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2"/>
                <w14:textFill>
                  <w14:solidFill>
                    <w14:schemeClr w14:val="tx1"/>
                  </w14:solidFill>
                </w14:textFill>
              </w:rPr>
            </w:pPr>
          </w:p>
        </w:tc>
        <w:tc>
          <w:tcPr>
            <w:tcW w:w="660"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themeColor="text1"/>
                <w:sz w:val="20"/>
                <w14:textFill>
                  <w14:solidFill>
                    <w14:schemeClr w14:val="tx1"/>
                  </w14:solidFill>
                </w14:textFill>
              </w:rPr>
            </w:pPr>
          </w:p>
        </w:tc>
        <w:tc>
          <w:tcPr>
            <w:tcW w:w="1060"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sz w:val="20"/>
                <w14:textFill>
                  <w14:solidFill>
                    <w14:schemeClr w14:val="tx1"/>
                  </w14:solidFill>
                </w14:textFill>
              </w:rPr>
            </w:pPr>
          </w:p>
        </w:tc>
        <w:tc>
          <w:tcPr>
            <w:tcW w:w="2391"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themeColor="text1"/>
                <w:sz w:val="20"/>
                <w14:textFill>
                  <w14:solidFill>
                    <w14:schemeClr w14:val="tx1"/>
                  </w14:solidFill>
                </w14:textFill>
              </w:rPr>
            </w:pPr>
          </w:p>
        </w:tc>
        <w:tc>
          <w:tcPr>
            <w:tcW w:w="910" w:type="dxa"/>
            <w:tcBorders>
              <w:top w:val="nil"/>
              <w:left w:val="nil"/>
              <w:bottom w:val="single" w:color="auto" w:sz="4" w:space="0"/>
              <w:right w:val="single" w:color="auto" w:sz="4" w:space="0"/>
            </w:tcBorders>
            <w:noWrap/>
            <w:vAlign w:val="center"/>
          </w:tcPr>
          <w:p>
            <w:pPr>
              <w:widowControl/>
              <w:ind w:right="110"/>
              <w:jc w:val="right"/>
              <w:rPr>
                <w:rFonts w:ascii="宋体" w:hAnsi="宋体" w:cs="宋体"/>
                <w:color w:val="000000" w:themeColor="text1"/>
                <w:kern w:val="0"/>
                <w:szCs w:val="22"/>
                <w14:textFill>
                  <w14:solidFill>
                    <w14:schemeClr w14:val="tx1"/>
                  </w14:solidFill>
                </w14:textFill>
              </w:rPr>
            </w:pPr>
          </w:p>
        </w:tc>
        <w:tc>
          <w:tcPr>
            <w:tcW w:w="84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Cs w:val="22"/>
                <w14:textFill>
                  <w14:solidFill>
                    <w14:schemeClr w14:val="tx1"/>
                  </w14:solidFill>
                </w14:textFill>
              </w:rPr>
            </w:pP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2"/>
                <w14:textFill>
                  <w14:solidFill>
                    <w14:schemeClr w14:val="tx1"/>
                  </w14:solidFill>
                </w14:textFill>
              </w:rPr>
            </w:pPr>
          </w:p>
        </w:tc>
      </w:tr>
      <w:tr>
        <w:tblPrEx>
          <w:tblCellMar>
            <w:top w:w="0" w:type="dxa"/>
            <w:left w:w="108" w:type="dxa"/>
            <w:bottom w:w="0" w:type="dxa"/>
            <w:right w:w="108" w:type="dxa"/>
          </w:tblCellMar>
        </w:tblPrEx>
        <w:trPr>
          <w:trHeight w:val="524" w:hRule="atLeast"/>
        </w:trPr>
        <w:tc>
          <w:tcPr>
            <w:tcW w:w="582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2"/>
                <w14:textFill>
                  <w14:solidFill>
                    <w14:schemeClr w14:val="tx1"/>
                  </w14:solidFill>
                </w14:textFill>
              </w:rPr>
            </w:pPr>
            <w:r>
              <w:rPr>
                <w:rFonts w:hint="eastAsia" w:ascii="宋体" w:hAnsi="宋体" w:cs="宋体"/>
                <w:color w:val="000000" w:themeColor="text1"/>
                <w:kern w:val="0"/>
                <w:szCs w:val="22"/>
                <w14:textFill>
                  <w14:solidFill>
                    <w14:schemeClr w14:val="tx1"/>
                  </w14:solidFill>
                </w14:textFill>
              </w:rPr>
              <w:t>合计</w:t>
            </w:r>
          </w:p>
        </w:tc>
        <w:tc>
          <w:tcPr>
            <w:tcW w:w="910" w:type="dxa"/>
            <w:tcBorders>
              <w:top w:val="single" w:color="auto" w:sz="4" w:space="0"/>
              <w:left w:val="nil"/>
              <w:bottom w:val="single" w:color="auto" w:sz="4" w:space="0"/>
              <w:right w:val="single" w:color="auto" w:sz="4" w:space="0"/>
            </w:tcBorders>
            <w:noWrap/>
            <w:vAlign w:val="center"/>
          </w:tcPr>
          <w:p>
            <w:pPr>
              <w:widowControl/>
              <w:ind w:right="220"/>
              <w:jc w:val="right"/>
              <w:rPr>
                <w:rFonts w:ascii="宋体" w:hAnsi="宋体" w:cs="宋体"/>
                <w:color w:val="000000" w:themeColor="text1"/>
                <w:kern w:val="0"/>
                <w:szCs w:val="22"/>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2"/>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2"/>
                <w14:textFill>
                  <w14:solidFill>
                    <w14:schemeClr w14:val="tx1"/>
                  </w14:solidFill>
                </w14:textFill>
              </w:rPr>
            </w:pPr>
          </w:p>
        </w:tc>
      </w:tr>
    </w:tbl>
    <w:p>
      <w:pPr>
        <w:pStyle w:val="2"/>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（单位：</w:t>
      </w:r>
      <w:r>
        <w:rPr>
          <w:rFonts w:ascii="宋体"/>
          <w:color w:val="000000" w:themeColor="text1"/>
          <w14:textFill>
            <w14:solidFill>
              <w14:schemeClr w14:val="tx1"/>
            </w14:solidFill>
          </w14:textFill>
        </w:rPr>
        <w:t>元</w:t>
      </w:r>
      <w:r>
        <w:rPr>
          <w:rFonts w:hint="eastAsia" w:ascii="宋体"/>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 xml:space="preserve">  </w:t>
      </w:r>
    </w:p>
    <w:p>
      <w:pPr>
        <w:pStyle w:val="2"/>
        <w:rPr>
          <w:rFonts w:ascii="宋体"/>
          <w:b/>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7" w:name="_Toc505620463"/>
      <w:r>
        <w:rPr>
          <w:rFonts w:hint="eastAsia" w:ascii="宋体" w:hAnsi="宋体" w:eastAsia="宋体"/>
          <w:color w:val="000000" w:themeColor="text1"/>
          <w:sz w:val="24"/>
          <w14:textFill>
            <w14:solidFill>
              <w14:schemeClr w14:val="tx1"/>
            </w14:solidFill>
          </w14:textFill>
        </w:rPr>
        <w:t>附件二：保密协议</w:t>
      </w:r>
      <w:bookmarkEnd w:id="37"/>
    </w:p>
    <w:p>
      <w:pPr>
        <w:pStyle w:val="8"/>
        <w:spacing w:line="500" w:lineRule="exact"/>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保 密 协 议</w:t>
      </w:r>
    </w:p>
    <w:p>
      <w:pPr>
        <w:spacing w:line="400" w:lineRule="exact"/>
        <w:rPr>
          <w:rFonts w:ascii="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b/>
      </w:r>
      <w:r>
        <w:rPr>
          <w:rFonts w:hint="eastAsia" w:ascii="宋体"/>
          <w:color w:val="000000" w:themeColor="text1"/>
          <w:sz w:val="24"/>
          <w14:textFill>
            <w14:solidFill>
              <w14:schemeClr w14:val="tx1"/>
            </w14:solidFill>
          </w14:textFill>
        </w:rPr>
        <w:t>鉴于：根据信息科技外包服务的需要，甲方需要将有关文件、资料、数据及其他相关信息向乙方进行披露，这些文件、资料、数据和信息涉及或可能涉及甲方的保密信息。</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为保护甲方的保密信息，双方就本协议以下条款达成一致，以便共同遵守执行。</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第一条  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第二条  保密义务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1．乙方应严守机密，并以切实有效的保密措施和制度保护保密信息。乙方须以通常保护其自身保密信息同等、并且不低于通常合理谨慎的标准使保密信息处于保密的使用状态；</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2. 乙方应当谨慎防止保密信息被披露给任何未参与本项目的第三方、被公布、销毁或丢失； </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4．乙方负责要求参与本项目的工作人员出具保密承诺函，并对其进行监督管理，该人员如有违反，将依据本协议承担相应的违约责任。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5．乙方所制作的分析报告、编选、调研或其它材料中所涉及的甲方保密信息，乙方应根据本协议有关规定履行保密义务；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6．乙方不得以损害甲方利益的方式使用保密信息；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7.乙方不得出售、转让或以任何其他方式处理保密信息，除非取得甲方书面许可；</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第三条  非保密信息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1.以下文件、资料和信息不属于保密信息：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（1）乙方从第三方获得的文件、资料和信息，并且该第三方同甲方不存在任何业务往来关系，也不存在任何协议或法律上的权利义务关系所产生的对甲方直接或间接的保密责任；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（2）已经向公众公开的文件、资料和信息，但是该公开不是由乙方、乙方的负责人、雇员、合伙人和其他有关人员所造成的；</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（3）由乙方独立于本协议第一条确定的保密信息而自主开发出来的文件、资料和信息。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2．在下列情况下，乙方不应当被视为违反保密义务：</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（1）为了遵守法律上的要求或有关监管机构对于信息披露方面的规定所作的披露，但是乙方在披露前应当通知甲方；</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（2）经甲方书面同意进行的信息披露。</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第四条  法律程序</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依据有管辖权法院或监管机构在法律或监管程序上的要求，乙方或其任何雇员或代理人必须披露本协议第一条确定的保密信息的，则乙方应当在法律许可的条件下立即采取下列措施：</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（1）在最短时间内将这种法律程序或规定的要求及其内容和背景情况通知甲方，就其是否应该采取其认为明智的合法步骤征求甲方的意见；</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（2）采取一切合理措施支持甲方就这种法律程序或规定的要求进行抗辩并且在披露前采取其它合理措施保护甲方的权利；</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（3）如果信息披露是法律或监管机构所要求的或者甲方同意乙方披露的，则乙方应当仅仅提供法律或监管机构要求乙方必须提供的那部分保密信息。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第五条 保密期限</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本协议是为防止甲方的保密信息被泄露而制定，乙方的保密义务不因双方合作项目的终止而免除。</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第六条  违约责任</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下列情形构成乙方的违约，乙方应向甲方承担全部直接损失(包括但不限于因乙方违</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（1）负有保密义务的乙方、乙方的负责人、董事、职员、雇员、代理人或顾问，未经甲方书面许可或授权而向任何第三方披露保密信息；</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（2）负有保密义务的乙方、乙方的负责人、董事、职员、雇员、代理人或顾问，未经甲方书面许可或授权将保密信息用于与实施本项目无关的其他用途或目的；</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（3）乙方违反本协议的其他约定。</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第七条  争议解决和法律适用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本协议在履行过程中发生争议，双方应当首先通过友好协商解决。当一方向另一方发出书面协商通知，协商应立即开始，如在书面协商通知发出后30日内争议仍无法得到解决， 由甲方所在地的人民法院管辖。</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本协议适用中华人民共和国法律。</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第八条  协议的效力</w:t>
      </w:r>
    </w:p>
    <w:p>
      <w:pPr>
        <w:spacing w:line="40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本协议一式伍份，甲方执叁份，乙方执贰份，具有同等效力。本协议经双方均盖章之日生效。</w:t>
      </w:r>
    </w:p>
    <w:p>
      <w:pPr>
        <w:widowControl/>
        <w:jc w:val="left"/>
        <w:rPr>
          <w:rFonts w:ascii="宋体"/>
          <w:color w:val="000000" w:themeColor="text1"/>
          <w:sz w:val="24"/>
          <w14:textFill>
            <w14:solidFill>
              <w14:schemeClr w14:val="tx1"/>
            </w14:solidFill>
          </w14:textFill>
        </w:rPr>
      </w:pPr>
    </w:p>
    <w:p>
      <w:pPr>
        <w:widowControl/>
        <w:jc w:val="left"/>
        <w:rPr>
          <w:rFonts w:ascii="宋体"/>
          <w:b/>
          <w:color w:val="000000" w:themeColor="text1"/>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甲方：江苏昆山农村商业银行        乙方：                             </w:t>
      </w:r>
    </w:p>
    <w:p>
      <w:pPr>
        <w:spacing w:line="500" w:lineRule="exact"/>
        <w:ind w:firstLine="1188" w:firstLineChars="495"/>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股份有限公司</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法定代表人/有权签署人：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（签名或盖章）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                       日期：    年   月  日</w:t>
      </w: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p>
    <w:p>
      <w:pPr>
        <w:pStyle w:val="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w:t>
      </w: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pStyle w:val="2"/>
        <w:rPr>
          <w:rFonts w:ascii="宋体"/>
          <w:b/>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keepNext w:val="0"/>
        <w:keepLines w:val="0"/>
        <w:tabs>
          <w:tab w:val="left" w:pos="720"/>
        </w:tabs>
        <w:spacing w:before="0" w:after="0" w:line="360" w:lineRule="auto"/>
        <w:ind w:left="720" w:hanging="720"/>
        <w:rPr>
          <w:rFonts w:ascii="宋体" w:hAnsi="宋体" w:eastAsia="宋体"/>
          <w:color w:val="000000" w:themeColor="text1"/>
          <w:sz w:val="24"/>
          <w14:textFill>
            <w14:solidFill>
              <w14:schemeClr w14:val="tx1"/>
            </w14:solidFill>
          </w14:textFill>
        </w:rPr>
      </w:pPr>
      <w:bookmarkStart w:id="38" w:name="_Toc505620464"/>
      <w:r>
        <w:rPr>
          <w:rFonts w:hint="eastAsia" w:ascii="宋体" w:hAnsi="宋体" w:eastAsia="宋体"/>
          <w:color w:val="000000" w:themeColor="text1"/>
          <w:sz w:val="24"/>
          <w14:textFill>
            <w14:solidFill>
              <w14:schemeClr w14:val="tx1"/>
            </w14:solidFill>
          </w14:textFill>
        </w:rPr>
        <w:t>附件三：设备维保服务内容</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1" descr="说明: 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a:xfrm>
                          <a:off x="0" y="0"/>
                          <a:ext cx="635" cy="635"/>
                        </a:xfrm>
                        <a:custGeom>
                          <a:avLst/>
                          <a:gdLst>
                            <a:gd name="A1" fmla="val 0"/>
                            <a:gd name="A2" fmla="val 0"/>
                            <a:gd name="txL" fmla="*/ 5034 w 21600"/>
                            <a:gd name="txT" fmla="*/ 2279 h 21600"/>
                            <a:gd name="txR" fmla="*/ 16566 w 21600"/>
                            <a:gd name="txB" fmla="*/ 13674 h 21600"/>
                          </a:gdLst>
                          <a:ahLst/>
                          <a:cxnLst>
                            <a:cxn ang="0">
                              <a:pos x="319" y="64"/>
                            </a:cxn>
                            <a:cxn ang="0">
                              <a:pos x="86" y="318"/>
                            </a:cxn>
                            <a:cxn ang="0">
                              <a:pos x="319" y="635"/>
                            </a:cxn>
                            <a:cxn ang="0">
                              <a:pos x="549" y="318"/>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alt="说明: 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AHcmAv0AAAAP8AAAAPAAAAAAAAAAEAIAAA&#10;ACIAAABkcnMvZG93bnJldi54bWxQSwECFAAUAAAACACHTuJAp7zxDsAEAACSFAAADgAAAAAAAAAB&#10;ACAAAAAfAQAAZHJzL2Uyb0RvYy54bWxQSwUGAAAAAAYABgBZAQAAU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8;319,635;549,318" o:connectangles="0,0,0,0"/>
                <v:fill on="t" focussize="0,0"/>
                <v:stroke color="#000000" joinstyle="miter"/>
                <v:imagedata o:title=""/>
                <o:lock v:ext="edit" aspectratio="f"/>
                <w10:anchorlock/>
              </v:shape>
            </w:pict>
          </mc:Fallback>
        </mc:AlternateContent>
      </w:r>
      <w:bookmarkEnd w:id="38"/>
    </w:p>
    <w:p>
      <w:pPr>
        <w:widowControl/>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napToGrid w:val="0"/>
        <w:spacing w:line="360" w:lineRule="auto"/>
        <w:outlineLvl w:val="1"/>
        <w:rPr>
          <w:rFonts w:ascii="仿宋_GB2312" w:hAnsi="宋体"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bookmarkStart w:id="39" w:name="_MON_1738064450"/>
      <w:bookmarkEnd w:id="39"/>
      <w:r>
        <w:rPr>
          <w:rFonts w:ascii="仿宋_GB2312" w:eastAsia="仿宋_GB2312"/>
          <w:color w:val="000000" w:themeColor="text1"/>
          <w:sz w:val="28"/>
          <w:szCs w:val="28"/>
          <w14:textFill>
            <w14:solidFill>
              <w14:schemeClr w14:val="tx1"/>
            </w14:solidFill>
          </w14:textFill>
        </w:rPr>
        <w:object>
          <v:shape id="_x0000_i1025" o:spt="75" type="#_x0000_t75" style="height:12pt;width:312pt;" o:ole="t" filled="f" o:preferrelative="t" stroked="f" coordsize="21600,21600">
            <v:path/>
            <v:fill on="f" focussize="0,0"/>
            <v:stroke on="f" joinstyle="miter"/>
            <v:imagedata r:id="rId7" o:title=""/>
            <o:lock v:ext="edit" aspectratio="t"/>
            <w10:wrap type="none"/>
            <w10:anchorlock/>
          </v:shape>
          <o:OLEObject Type="Embed" ProgID="Word.Document.12" ShapeID="_x0000_i1025" DrawAspect="Content" ObjectID="_1468075725" r:id="rId6">
            <o:LockedField>false</o:LockedField>
          </o:OLEObject>
        </w:object>
      </w: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widowControl/>
        <w:jc w:val="left"/>
        <w:rPr>
          <w:rFonts w:ascii="仿宋_GB2312" w:eastAsia="仿宋_GB2312"/>
          <w:color w:val="000000" w:themeColor="text1"/>
          <w:sz w:val="28"/>
          <w:szCs w:val="28"/>
          <w14:textFill>
            <w14:solidFill>
              <w14:schemeClr w14:val="tx1"/>
            </w14:solidFill>
          </w14:textFill>
        </w:rPr>
      </w:pPr>
    </w:p>
    <w:p>
      <w:pPr>
        <w:spacing w:line="440" w:lineRule="atLeast"/>
        <w:rPr>
          <w:rFonts w:ascii="仿宋" w:hAnsi="仿宋" w:eastAsia="仿宋"/>
          <w:b/>
          <w:bCs/>
          <w:color w:val="000000" w:themeColor="text1"/>
          <w:sz w:val="24"/>
          <w:szCs w:val="24"/>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标段四：</w:t>
      </w:r>
      <w:r>
        <w:rPr>
          <w:rFonts w:ascii="仿宋_GB2312" w:hAnsi="仿宋_GB2312" w:eastAsia="仿宋_GB2312" w:cs="仿宋_GB2312"/>
          <w:color w:val="000000" w:themeColor="text1"/>
          <w:sz w:val="32"/>
          <w:szCs w:val="32"/>
          <w:lang w:val="zh-CN"/>
          <w14:textFill>
            <w14:solidFill>
              <w14:schemeClr w14:val="tx1"/>
            </w14:solidFill>
          </w14:textFill>
        </w:rPr>
        <w:t>拟签订合同的主要条款：</w:t>
      </w:r>
    </w:p>
    <w:p>
      <w:pPr>
        <w:spacing w:line="440" w:lineRule="atLeast"/>
        <w:rPr>
          <w:rFonts w:ascii="仿宋" w:hAnsi="仿宋" w:eastAsia="仿宋"/>
          <w:b/>
          <w:bCs/>
          <w:color w:val="000000" w:themeColor="text1"/>
          <w:sz w:val="24"/>
          <w:szCs w:val="24"/>
          <w14:textFill>
            <w14:solidFill>
              <w14:schemeClr w14:val="tx1"/>
            </w14:solidFill>
          </w14:textFill>
        </w:rPr>
      </w:pPr>
    </w:p>
    <w:p>
      <w:pPr>
        <w:autoSpaceDE w:val="0"/>
        <w:autoSpaceDN w:val="0"/>
        <w:snapToGrid w:val="0"/>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江苏苏州农村商业银行股份有限公司</w:t>
      </w:r>
    </w:p>
    <w:p>
      <w:pPr>
        <w:autoSpaceDE w:val="0"/>
        <w:autoSpaceDN w:val="0"/>
        <w:snapToGrid w:val="0"/>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科技</w:t>
      </w:r>
      <w:r>
        <w:rPr>
          <w:rFonts w:ascii="宋体" w:hAnsi="宋体"/>
          <w:b/>
          <w:bCs/>
          <w:color w:val="000000" w:themeColor="text1"/>
          <w:sz w:val="36"/>
          <w:szCs w:val="36"/>
          <w14:textFill>
            <w14:solidFill>
              <w14:schemeClr w14:val="tx1"/>
            </w14:solidFill>
          </w14:textFill>
        </w:rPr>
        <w:t>部</w:t>
      </w:r>
      <w:r>
        <w:rPr>
          <w:rFonts w:hint="eastAsia" w:ascii="宋体" w:hAnsi="宋体"/>
          <w:b/>
          <w:bCs/>
          <w:color w:val="000000" w:themeColor="text1"/>
          <w:sz w:val="36"/>
          <w:szCs w:val="36"/>
          <w14:textFill>
            <w14:solidFill>
              <w14:schemeClr w14:val="tx1"/>
            </w14:solidFill>
          </w14:textFill>
        </w:rPr>
        <w:t>采购合同</w:t>
      </w:r>
    </w:p>
    <w:p>
      <w:pPr>
        <w:tabs>
          <w:tab w:val="left" w:pos="5760"/>
        </w:tabs>
        <w:autoSpaceDE w:val="0"/>
        <w:autoSpaceDN w:val="0"/>
        <w:snapToGrid w:val="0"/>
        <w:spacing w:line="360" w:lineRule="auto"/>
        <w:ind w:right="360"/>
        <w:jc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甲方名称：</w:t>
      </w:r>
      <w:bookmarkStart w:id="40" w:name="甲方"/>
      <w:r>
        <w:rPr>
          <w:rFonts w:hint="eastAsia" w:ascii="宋体" w:hAnsi="宋体" w:cs="宋体"/>
          <w:color w:val="000000" w:themeColor="text1"/>
          <w:sz w:val="24"/>
          <w:szCs w:val="24"/>
          <w14:textFill>
            <w14:solidFill>
              <w14:schemeClr w14:val="tx1"/>
            </w14:solidFill>
          </w14:textFill>
        </w:rPr>
        <w:t>江苏苏州农村商业银行股份有限公司</w:t>
      </w:r>
      <w:bookmarkEnd w:id="40"/>
      <w:r>
        <w:rPr>
          <w:rFonts w:hint="eastAsia" w:ascii="宋体" w:hAnsi="宋体" w:cs="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bookmarkStart w:id="41" w:name="甲方地址"/>
      <w:r>
        <w:rPr>
          <w:rFonts w:hint="eastAsia" w:ascii="宋体" w:hAnsi="宋体" w:cs="宋体"/>
          <w:color w:val="000000" w:themeColor="text1"/>
          <w:sz w:val="24"/>
          <w:szCs w:val="24"/>
          <w14:textFill>
            <w14:solidFill>
              <w14:schemeClr w14:val="tx1"/>
            </w14:solidFill>
          </w14:textFill>
        </w:rPr>
        <w:t>江苏省苏州市吴江区中山南路1777号</w:t>
      </w:r>
      <w:bookmarkEnd w:id="41"/>
      <w:r>
        <w:rPr>
          <w:rFonts w:hint="eastAsia" w:ascii="宋体" w:hAnsi="宋体" w:cs="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bookmarkStart w:id="42" w:name="甲方电话"/>
      <w:r>
        <w:rPr>
          <w:rFonts w:hint="eastAsia" w:ascii="宋体" w:hAnsi="宋体" w:cs="宋体"/>
          <w:color w:val="000000" w:themeColor="text1"/>
          <w:sz w:val="24"/>
          <w:szCs w:val="24"/>
          <w14:textFill>
            <w14:solidFill>
              <w14:schemeClr w14:val="tx1"/>
            </w14:solidFill>
          </w14:textFill>
        </w:rPr>
        <w:t xml:space="preserve">手机号码或办公座机号码 </w:t>
      </w:r>
      <w:bookmarkEnd w:id="42"/>
      <w:r>
        <w:rPr>
          <w:rFonts w:hint="eastAsia" w:ascii="宋体" w:hAnsi="宋体" w:cs="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w:t>
      </w:r>
      <w:bookmarkStart w:id="43" w:name="甲方联系人"/>
      <w:r>
        <w:rPr>
          <w:rFonts w:hint="eastAsia" w:ascii="宋体" w:hAnsi="宋体" w:cs="宋体"/>
          <w:color w:val="000000" w:themeColor="text1"/>
          <w:sz w:val="24"/>
          <w:szCs w:val="24"/>
          <w14:textFill>
            <w14:solidFill>
              <w14:schemeClr w14:val="tx1"/>
            </w14:solidFill>
          </w14:textFill>
        </w:rPr>
        <w:t xml:space="preserve">                       </w:t>
      </w:r>
      <w:bookmarkEnd w:id="43"/>
      <w:r>
        <w:rPr>
          <w:rFonts w:hint="eastAsia" w:ascii="宋体" w:hAnsi="宋体" w:cs="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乙方名称：</w:t>
      </w:r>
      <w:bookmarkStart w:id="44" w:name="乙方"/>
      <w:r>
        <w:rPr>
          <w:rFonts w:hint="eastAsia" w:ascii="宋体" w:hAnsi="宋体" w:cs="宋体"/>
          <w:color w:val="000000" w:themeColor="text1"/>
          <w:sz w:val="24"/>
          <w:szCs w:val="24"/>
          <w14:textFill>
            <w14:solidFill>
              <w14:schemeClr w14:val="tx1"/>
            </w14:solidFill>
          </w14:textFill>
        </w:rPr>
        <w:t>按营业执照填写对方公司全称</w:t>
      </w:r>
      <w:bookmarkEnd w:id="44"/>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bookmarkStart w:id="45" w:name="乙方地址"/>
      <w:r>
        <w:rPr>
          <w:rFonts w:hint="eastAsia" w:ascii="宋体" w:hAnsi="宋体" w:cs="宋体"/>
          <w:color w:val="000000" w:themeColor="text1"/>
          <w:sz w:val="24"/>
          <w:szCs w:val="24"/>
          <w14:textFill>
            <w14:solidFill>
              <w14:schemeClr w14:val="tx1"/>
            </w14:solidFill>
          </w14:textFill>
        </w:rPr>
        <w:t xml:space="preserve">    省   市    区      街道  号   </w:t>
      </w:r>
    </w:p>
    <w:bookmarkEnd w:id="45"/>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bookmarkStart w:id="46" w:name="乙方电话"/>
      <w:r>
        <w:rPr>
          <w:rFonts w:hint="eastAsia" w:ascii="宋体" w:hAnsi="宋体" w:cs="宋体"/>
          <w:color w:val="000000" w:themeColor="text1"/>
          <w:sz w:val="24"/>
          <w:szCs w:val="24"/>
          <w14:textFill>
            <w14:solidFill>
              <w14:schemeClr w14:val="tx1"/>
            </w14:solidFill>
          </w14:textFill>
        </w:rPr>
        <w:t xml:space="preserve">手机号码或办公座机号码 </w:t>
      </w:r>
      <w:bookmarkEnd w:id="46"/>
      <w:r>
        <w:rPr>
          <w:rFonts w:hint="eastAsia" w:ascii="宋体" w:hAnsi="宋体" w:cs="宋体"/>
          <w:color w:val="000000" w:themeColor="text1"/>
          <w:sz w:val="24"/>
          <w:szCs w:val="24"/>
          <w14:textFill>
            <w14:solidFill>
              <w14:schemeClr w14:val="tx1"/>
            </w14:solidFill>
          </w14:textFill>
        </w:rPr>
        <w:t xml:space="preserve"> </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w:t>
      </w:r>
      <w:bookmarkStart w:id="47" w:name="乙方联系人"/>
      <w:r>
        <w:rPr>
          <w:rFonts w:hint="eastAsia" w:ascii="宋体" w:hAnsi="宋体" w:cs="宋体"/>
          <w:color w:val="000000" w:themeColor="text1"/>
          <w:sz w:val="24"/>
          <w:szCs w:val="24"/>
          <w14:textFill>
            <w14:solidFill>
              <w14:schemeClr w14:val="tx1"/>
            </w14:solidFill>
          </w14:textFill>
        </w:rPr>
        <w:t xml:space="preserve">                       </w:t>
      </w:r>
      <w:bookmarkEnd w:id="47"/>
      <w:r>
        <w:rPr>
          <w:rFonts w:hint="eastAsia" w:ascii="宋体" w:hAnsi="宋体" w:cs="宋体"/>
          <w:color w:val="000000" w:themeColor="text1"/>
          <w:sz w:val="24"/>
          <w:szCs w:val="24"/>
          <w14:textFill>
            <w14:solidFill>
              <w14:schemeClr w14:val="tx1"/>
            </w14:solidFill>
          </w14:textFill>
        </w:rPr>
        <w:t xml:space="preserve">  </w:t>
      </w:r>
    </w:p>
    <w:p>
      <w:pPr>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甲、乙双方经过平等协商，在真实、充分地表达各自意愿的基础上，根据国家相关法律、法规，就甲方购买乙方产品事宜达成如下一致条款，并由双方共同恪守。</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numPr>
          <w:ilvl w:val="0"/>
          <w:numId w:val="4"/>
        </w:num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合同购销产品（产品数量较大可另行制作表单作为合同附件）：</w:t>
      </w:r>
      <w:bookmarkStart w:id="48" w:name="购销货物明细"/>
    </w:p>
    <w:p>
      <w:pPr>
        <w:spacing w:line="360" w:lineRule="auto"/>
        <w:ind w:right="600"/>
        <w:rPr>
          <w:rFonts w:ascii="宋体" w:hAnsi="宋体" w:cs="宋体"/>
          <w:b/>
          <w:bCs/>
          <w:color w:val="000000" w:themeColor="text1"/>
          <w:sz w:val="24"/>
          <w:szCs w:val="24"/>
          <w14:textFill>
            <w14:solidFill>
              <w14:schemeClr w14:val="tx1"/>
            </w14:solidFill>
          </w14:textFill>
        </w:rPr>
      </w:pPr>
    </w:p>
    <w:tbl>
      <w:tblPr>
        <w:tblStyle w:val="15"/>
        <w:tblpPr w:leftFromText="180" w:rightFromText="180" w:vertAnchor="text" w:tblpXSpec="center" w:tblpY="1"/>
        <w:tblOverlap w:val="never"/>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2"/>
        <w:gridCol w:w="1784"/>
        <w:gridCol w:w="99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208"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产品名称</w:t>
            </w:r>
          </w:p>
        </w:tc>
        <w:tc>
          <w:tcPr>
            <w:tcW w:w="3062"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规格</w:t>
            </w:r>
          </w:p>
        </w:tc>
        <w:tc>
          <w:tcPr>
            <w:tcW w:w="1784"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单价（含税）</w:t>
            </w:r>
          </w:p>
        </w:tc>
        <w:tc>
          <w:tcPr>
            <w:tcW w:w="992"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数量</w:t>
            </w:r>
          </w:p>
        </w:tc>
        <w:tc>
          <w:tcPr>
            <w:tcW w:w="1047"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08"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3062" w:type="dxa"/>
            <w:vAlign w:val="center"/>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tc>
        <w:tc>
          <w:tcPr>
            <w:tcW w:w="1784"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992"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1047"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08"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3062" w:type="dxa"/>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tc>
        <w:tc>
          <w:tcPr>
            <w:tcW w:w="1784"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992"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1047"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08"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3062" w:type="dxa"/>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tc>
        <w:tc>
          <w:tcPr>
            <w:tcW w:w="1784"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992"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c>
          <w:tcPr>
            <w:tcW w:w="1047"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3" w:type="dxa"/>
            <w:gridSpan w:val="5"/>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合同总价：人民币(大写)</w:t>
            </w:r>
          </w:p>
        </w:tc>
      </w:tr>
      <w:bookmarkEnd w:id="48"/>
    </w:tbl>
    <w:p>
      <w:pPr>
        <w:spacing w:line="360" w:lineRule="auto"/>
        <w:ind w:firstLine="482" w:firstLineChars="200"/>
        <w:rPr>
          <w:rFonts w:ascii="宋体" w:hAnsi="宋体" w:cs="宋体"/>
          <w:b/>
          <w:bCs/>
          <w:color w:val="000000" w:themeColor="text1"/>
          <w:sz w:val="24"/>
          <w:szCs w:val="24"/>
          <w14:textFill>
            <w14:solidFill>
              <w14:schemeClr w14:val="tx1"/>
            </w14:solidFill>
          </w14:textFill>
        </w:rPr>
      </w:pP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二、交付时间及地点：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在合同签订后</w:t>
      </w:r>
      <w:bookmarkStart w:id="49" w:name="交货时间"/>
      <w:r>
        <w:rPr>
          <w:rFonts w:hint="eastAsia" w:ascii="宋体" w:hAnsi="宋体" w:cs="宋体"/>
          <w:color w:val="000000" w:themeColor="text1"/>
          <w:sz w:val="24"/>
          <w:szCs w:val="24"/>
          <w:u w:val="single"/>
          <w:shd w:val="clear" w:color="FFFFFF" w:fill="D9D9D9"/>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bookmarkEnd w:id="49"/>
      <w:r>
        <w:rPr>
          <w:rFonts w:hint="eastAsia" w:ascii="宋体" w:hAnsi="宋体" w:cs="宋体"/>
          <w:color w:val="000000" w:themeColor="text1"/>
          <w:sz w:val="24"/>
          <w:szCs w:val="24"/>
          <w14:textFill>
            <w14:solidFill>
              <w14:schemeClr w14:val="tx1"/>
            </w14:solidFill>
          </w14:textFill>
        </w:rPr>
        <w:t>内，乙方按照本合同约定将甲方所采购的产品全部交付至甲方指定地点：</w:t>
      </w:r>
      <w:bookmarkStart w:id="50" w:name="交货地点"/>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bookmarkEnd w:id="50"/>
      <w:r>
        <w:rPr>
          <w:rFonts w:hint="eastAsia" w:ascii="宋体" w:hAnsi="宋体" w:cs="宋体"/>
          <w:color w:val="000000" w:themeColor="text1"/>
          <w:sz w:val="24"/>
          <w:szCs w:val="24"/>
          <w14:textFill>
            <w14:solidFill>
              <w14:schemeClr w14:val="tx1"/>
            </w14:solidFill>
          </w14:textFill>
        </w:rPr>
        <w:t xml:space="preserve">，运费由乙方承担。 </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三、产品验收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1、产品交货时应当同时附有相关文件（包括但不限于技术规格、使用说明等相关文件或技术资料），文件或技术资料应当清晰、正确和完整。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乙方应当在产品运至约定交货地点前通知甲方，以便甲方做好接收准备。产品运至约定交货地点后甲方对产品进行接收。接收时甲方有权对乙方所交产品的外包装完好程度、产品品牌、型号、数量、生产厂商等是否符合本合同约定进行初验。乙方交付的产品存在损坏或短缺，或产品品牌、技术规格等不符合约定的，甲方有权拒绝接收相应产品且乙方应按本合同约定承担违约责任。对于被拒绝接收的产品，可暂时存放甲方处，但产品毁损、灭失的风险由乙方承担。初验后应由甲方根据初验结果签署到货证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3、本合同项下产品所有权自产品交由甲方或甲方指定人员占有并由甲方签署初验合格的到货证明之时起转移给甲方。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4、本合同项下</w:t>
      </w:r>
      <w:bookmarkStart w:id="51" w:name="安装调试"/>
      <w:r>
        <w:rPr>
          <w:rFonts w:hint="eastAsia" w:ascii="宋体" w:hAnsi="宋体" w:cs="宋体"/>
          <w:color w:val="000000" w:themeColor="text1"/>
          <w:sz w:val="24"/>
          <w:szCs w:val="24"/>
          <w:shd w:val="pct10" w:color="auto" w:fill="FFFFFF"/>
          <w14:textFill>
            <w14:solidFill>
              <w14:schemeClr w14:val="tx1"/>
            </w14:solidFill>
          </w14:textFill>
        </w:rPr>
        <w:t>___</w:t>
      </w:r>
      <w:r>
        <w:rPr>
          <w:rFonts w:hint="eastAsia" w:ascii="宋体" w:hAnsi="宋体" w:cs="宋体"/>
          <w:color w:val="000000" w:themeColor="text1"/>
          <w:sz w:val="24"/>
          <w:szCs w:val="24"/>
          <w14:textFill>
            <w14:solidFill>
              <w14:schemeClr w14:val="tx1"/>
            </w14:solidFill>
          </w14:textFill>
        </w:rPr>
        <w:t>（需/不需）</w:t>
      </w:r>
      <w:bookmarkEnd w:id="51"/>
      <w:r>
        <w:rPr>
          <w:rFonts w:hint="eastAsia" w:ascii="宋体" w:hAnsi="宋体" w:cs="宋体"/>
          <w:color w:val="000000" w:themeColor="text1"/>
          <w:sz w:val="24"/>
          <w:szCs w:val="24"/>
          <w14:textFill>
            <w14:solidFill>
              <w14:schemeClr w14:val="tx1"/>
            </w14:solidFill>
          </w14:textFill>
        </w:rPr>
        <w:t>提供安装调试服务。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若乙方并非原厂商、而本合同约定安装调试服务提供方为原厂商的，则乙方有义务联系、安排、督促、要求原厂商按照本条约定履行安装调试服务义务。原厂商未按照本合同约定履行安装调试服务义务的，视为乙方未履行义务，甲方有权要求乙方承担相应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4.2安装调试服务提供方应当遵守如下约定：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4.2.1安装调试服务提供方应当在接到甲方通知之日起</w:t>
      </w:r>
      <w:bookmarkStart w:id="52" w:name="安装调试时间"/>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bookmarkEnd w:id="52"/>
      <w:r>
        <w:rPr>
          <w:rFonts w:hint="eastAsia" w:ascii="宋体" w:hAnsi="宋体" w:cs="宋体"/>
          <w:color w:val="000000" w:themeColor="text1"/>
          <w:sz w:val="24"/>
          <w:szCs w:val="24"/>
          <w14:textFill>
            <w14:solidFill>
              <w14:schemeClr w14:val="tx1"/>
            </w14:solidFill>
          </w14:textFill>
        </w:rPr>
        <w:t>内到甲方指定地点对产品进行安装调试；除本合同另有约定外，甲方无需为安装调试服务支付任何费用。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4.2.2甲方为安装调试提供工作场地、电源等条件，产品安装调试所需的耗材应由安装调试服务提供方提供，安装调试服务提供方在安装调试过程中应当遵守甲方工作场所的工作纪律及相关安全管理规定。安装调试过程中安装人员的安全责任由安装调试服务提供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4.2.3安装调试服务应当在如下约定期限内完成并验收合格：</w:t>
      </w:r>
      <w:bookmarkStart w:id="53" w:name="安装调试时间1"/>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bookmarkEnd w:id="53"/>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4.2.4安装调试服务工作完成后（或双方书面另行约定其他时点），安装调试服务提供方应当在</w:t>
      </w:r>
      <w:bookmarkStart w:id="54" w:name="安装调试验收"/>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bookmarkEnd w:id="54"/>
      <w:r>
        <w:rPr>
          <w:rFonts w:hint="eastAsia" w:ascii="宋体" w:hAnsi="宋体" w:cs="宋体"/>
          <w:color w:val="000000" w:themeColor="text1"/>
          <w:sz w:val="24"/>
          <w:szCs w:val="24"/>
          <w14:textFill>
            <w14:solidFill>
              <w14:schemeClr w14:val="tx1"/>
            </w14:solidFill>
          </w14:textFill>
        </w:rPr>
        <w:t>内做好验收的必要准备并向甲方发出可以进行验收的书面通知。甲方自收到安装调试服务提供方可以进行验收的通知之日起</w:t>
      </w:r>
      <w:bookmarkStart w:id="55" w:name="安装调试验收1"/>
      <w:r>
        <w:rPr>
          <w:rFonts w:hint="eastAsia" w:ascii="宋体" w:hAnsi="宋体" w:cs="宋体"/>
          <w:color w:val="000000" w:themeColor="text1"/>
          <w:sz w:val="24"/>
          <w:szCs w:val="24"/>
          <w:shd w:val="pct10" w:color="auto" w:fill="FFFFFF"/>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bookmarkEnd w:id="55"/>
      <w:r>
        <w:rPr>
          <w:rFonts w:hint="eastAsia" w:ascii="宋体" w:hAnsi="宋体" w:cs="宋体"/>
          <w:color w:val="000000" w:themeColor="text1"/>
          <w:sz w:val="24"/>
          <w:szCs w:val="24"/>
          <w14:textFill>
            <w14:solidFill>
              <w14:schemeClr w14:val="tx1"/>
            </w14:solidFill>
          </w14:textFill>
        </w:rPr>
        <w:t xml:space="preserve">内开始对安装调试服务进行验收，验收合格后甲方签署验收合格证明。如验收不合格，安装调试服务提供方应当立即采取措施纠正不符之处，并与甲方协商约定新的验收时间进行验收（简称“重新提交验收”）。若因安装调试服务提供方重新提交验收而未在原定的服务完成期限或验收合格期限前验收合格的，由乙方对安装调试服务提供方的违约行为承担逾期违约责任。 </w:t>
      </w:r>
    </w:p>
    <w:p>
      <w:pPr>
        <w:spacing w:before="40" w:after="40" w:line="360" w:lineRule="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四、乙方承诺及质量要求：</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1、本合同项下设备为全新、未曾使用过的原厂正品设备。乙方保证向甲方提供的产品和服务，不会侵犯任何第三方的正当权益，否则，甲方因此遭受损失和承担责任的， 由乙方负责赔偿并承担所有后果。因乙方交付产品存在任何瑕疵给甲方或者第三方造成经济或其他损失，乙方应当就实际与间接损失承担损害赔偿责任。</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甲方在本合同或附件中已指明所购产品品牌型号的，则产品应为甲方所指定品牌型号的原厂商生产的、完整、全新、未使用过的产品，产品品质不低于原厂商同类同规格产品品质标准。产品内附质量说明或使用说明的，乙方同时保证产品质量与内附说明一致，保证产品能按照产品内附说明在本合同约定项目中正常运行或使用。</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除非双方另行约定，乙方提供的产品质量应符合同类同规格产品的国家质量标准及行业质量标准，上述质量标准区分等级的，则应符合最高级别的标准；如没有上述标准的，则应具备该类产品通常所应具备的使用功能和质量标准，且能在本合同约定的项目中正常运行和使用。</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4、甲方对产品质量的其他要求:</w:t>
      </w:r>
      <w:bookmarkStart w:id="56" w:name="其他要求"/>
      <w:r>
        <w:rPr>
          <w:rFonts w:hint="eastAsia" w:ascii="宋体" w:hAnsi="宋体" w:cs="宋体"/>
          <w:color w:val="000000" w:themeColor="text1"/>
          <w:sz w:val="24"/>
          <w:szCs w:val="24"/>
          <w:shd w:val="pct10" w:color="auto" w:fill="FFFFFF"/>
          <w14:textFill>
            <w14:solidFill>
              <w14:schemeClr w14:val="tx1"/>
            </w14:solidFill>
          </w14:textFill>
        </w:rPr>
        <w:t xml:space="preserve">                               </w:t>
      </w:r>
      <w:bookmarkEnd w:id="56"/>
      <w:r>
        <w:rPr>
          <w:rFonts w:hint="eastAsia" w:ascii="宋体" w:hAnsi="宋体" w:cs="宋体"/>
          <w:color w:val="000000" w:themeColor="text1"/>
          <w:sz w:val="24"/>
          <w:szCs w:val="24"/>
          <w14:textFill>
            <w14:solidFill>
              <w14:schemeClr w14:val="tx1"/>
            </w14:solidFill>
          </w14:textFill>
        </w:rPr>
        <w:t>。</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5、乙方保证提供给甲方的产品符合本条有关产品质量标准的约定，且产品已通过原厂商质量测试和检验，并附带质量合格证书。</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本合同项下产品依下列第</w:t>
      </w:r>
      <w:bookmarkStart w:id="57" w:name="质保期"/>
      <w:r>
        <w:rPr>
          <w:rFonts w:hint="eastAsia" w:ascii="宋体" w:hAnsi="宋体" w:cs="宋体"/>
          <w:color w:val="000000" w:themeColor="text1"/>
          <w:sz w:val="24"/>
          <w:szCs w:val="24"/>
          <w:shd w:val="pct10" w:color="auto" w:fill="FFFFFF"/>
          <w14:textFill>
            <w14:solidFill>
              <w14:schemeClr w14:val="tx1"/>
            </w14:solidFill>
          </w14:textFill>
        </w:rPr>
        <w:t xml:space="preserve">        </w:t>
      </w:r>
      <w:bookmarkEnd w:id="57"/>
      <w:r>
        <w:rPr>
          <w:rFonts w:hint="eastAsia" w:ascii="宋体" w:hAnsi="宋体" w:cs="宋体"/>
          <w:color w:val="000000" w:themeColor="text1"/>
          <w:sz w:val="24"/>
          <w:szCs w:val="24"/>
          <w14:textFill>
            <w14:solidFill>
              <w14:schemeClr w14:val="tx1"/>
            </w14:solidFill>
          </w14:textFill>
        </w:rPr>
        <w:t>项约定享有质量保证期：</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（一）依该产品原厂商在产品附带的标准文件中的说明为准。</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（二）享有为期</w:t>
      </w:r>
      <w:bookmarkStart w:id="58" w:name="质保期1"/>
      <w:r>
        <w:rPr>
          <w:rFonts w:hint="eastAsia" w:ascii="宋体" w:hAnsi="宋体" w:cs="宋体"/>
          <w:color w:val="000000" w:themeColor="text1"/>
          <w:sz w:val="24"/>
          <w:szCs w:val="24"/>
          <w14:textFill>
            <w14:solidFill>
              <w14:schemeClr w14:val="tx1"/>
            </w14:solidFill>
          </w14:textFill>
        </w:rPr>
        <w:t>36（月）</w:t>
      </w:r>
      <w:bookmarkEnd w:id="58"/>
      <w:r>
        <w:rPr>
          <w:rFonts w:hint="eastAsia" w:ascii="宋体" w:hAnsi="宋体" w:cs="宋体"/>
          <w:color w:val="000000" w:themeColor="text1"/>
          <w:sz w:val="24"/>
          <w:szCs w:val="24"/>
          <w14:textFill>
            <w14:solidFill>
              <w14:schemeClr w14:val="tx1"/>
            </w14:solidFill>
          </w14:textFill>
        </w:rPr>
        <w:t>的质量保证期，该期限自本合同项下的全部产品验收合格之日（对于还需要进行加电测试、安装调试或集成服务的，应自所有相应服务完成并验收合格之日）起开始计算，质量保证期内如产品出现任何质量问题，甲方有权要求乙方予以免费维修、更换或退货。</w:t>
      </w:r>
    </w:p>
    <w:p>
      <w:pPr>
        <w:widowControl/>
        <w:tabs>
          <w:tab w:val="left" w:pos="2610"/>
          <w:tab w:val="left" w:pos="5040"/>
          <w:tab w:val="left" w:pos="5400"/>
          <w:tab w:val="left" w:pos="6120"/>
          <w:tab w:val="left" w:pos="6840"/>
          <w:tab w:val="left" w:pos="7920"/>
        </w:tabs>
        <w:spacing w:before="40" w:after="40"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w:t>
      </w:r>
      <w:bookmarkStart w:id="59" w:name="其他质保期"/>
      <w:r>
        <w:rPr>
          <w:rFonts w:hint="eastAsia" w:ascii="宋体" w:hAnsi="宋体" w:cs="宋体"/>
          <w:color w:val="000000" w:themeColor="text1"/>
          <w:sz w:val="24"/>
          <w:szCs w:val="24"/>
          <w:shd w:val="pct10" w:color="auto" w:fill="FFFFFF"/>
          <w14:textFill>
            <w14:solidFill>
              <w14:schemeClr w14:val="tx1"/>
            </w14:solidFill>
          </w14:textFill>
        </w:rPr>
        <w:t xml:space="preserve">                   </w:t>
      </w:r>
      <w:bookmarkEnd w:id="59"/>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1、甲方收到货物并经初验合格的，在乙方提供符合本协议约定的增值税专用发票后</w:t>
      </w:r>
      <w:r>
        <w:rPr>
          <w:rFonts w:hint="eastAsia" w:ascii="宋体" w:hAnsi="宋体" w:cs="宋体"/>
          <w:color w:val="000000" w:themeColor="text1"/>
          <w:sz w:val="24"/>
          <w:szCs w:val="24"/>
          <w:u w:val="single"/>
          <w14:textFill>
            <w14:solidFill>
              <w14:schemeClr w14:val="tx1"/>
            </w14:solidFill>
          </w14:textFill>
        </w:rPr>
        <w:t xml:space="preserve"> 30</w:t>
      </w:r>
      <w:r>
        <w:rPr>
          <w:rFonts w:hint="eastAsia" w:ascii="宋体" w:hAnsi="宋体" w:cs="宋体"/>
          <w:color w:val="000000" w:themeColor="text1"/>
          <w:sz w:val="24"/>
          <w:szCs w:val="24"/>
          <w14:textFill>
            <w14:solidFill>
              <w14:schemeClr w14:val="tx1"/>
            </w14:solidFill>
          </w14:textFill>
        </w:rPr>
        <w:t>日内，甲方通过</w:t>
      </w:r>
      <w:r>
        <w:rPr>
          <w:rFonts w:hint="eastAsia" w:ascii="宋体" w:hAnsi="宋体" w:cs="宋体"/>
          <w:color w:val="000000" w:themeColor="text1"/>
          <w:sz w:val="24"/>
          <w:szCs w:val="24"/>
          <w:u w:val="single"/>
          <w14:textFill>
            <w14:solidFill>
              <w14:schemeClr w14:val="tx1"/>
            </w14:solidFill>
          </w14:textFill>
        </w:rPr>
        <w:t xml:space="preserve"> 银行汇款 </w:t>
      </w:r>
      <w:r>
        <w:rPr>
          <w:rFonts w:hint="eastAsia" w:ascii="宋体" w:hAnsi="宋体" w:cs="宋体"/>
          <w:color w:val="000000" w:themeColor="text1"/>
          <w:sz w:val="24"/>
          <w:szCs w:val="24"/>
          <w14:textFill>
            <w14:solidFill>
              <w14:schemeClr w14:val="tx1"/>
            </w14:solidFill>
          </w14:textFill>
        </w:rPr>
        <w:t>方式支付本合同金额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的款项到乙方指定的收款账户，金额为</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（大写人民币</w:t>
      </w:r>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2、合同金额的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即</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（大写人民币</w:t>
      </w:r>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，待货物调试完毕验收合格一年后付清。</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4、乙方指定的收款账户如下： </w:t>
      </w:r>
    </w:p>
    <w:p>
      <w:pPr>
        <w:spacing w:line="360" w:lineRule="auto"/>
        <w:ind w:firstLine="480" w:firstLineChars="200"/>
        <w:rPr>
          <w:rFonts w:ascii="宋体" w:hAnsi="宋体" w:cs="宋体"/>
          <w:color w:val="000000" w:themeColor="text1"/>
          <w:sz w:val="24"/>
          <w:szCs w:val="24"/>
          <w:shd w:val="pct10"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bookmarkStart w:id="60" w:name="收款账户"/>
      <w:r>
        <w:rPr>
          <w:rFonts w:hint="eastAsia" w:ascii="宋体" w:hAnsi="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shd w:val="pct10" w:color="auto" w:fill="FFFFFF"/>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shd w:val="pct10"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开户行：</w:t>
      </w:r>
      <w:r>
        <w:rPr>
          <w:rFonts w:hint="eastAsia" w:ascii="宋体" w:hAnsi="宋体" w:cs="宋体"/>
          <w:color w:val="000000" w:themeColor="text1"/>
          <w:sz w:val="24"/>
          <w:szCs w:val="24"/>
          <w:shd w:val="pct10" w:color="auto" w:fill="FFFFFF"/>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shd w:val="pct10" w:color="auto" w:fill="FFFFFF"/>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账　号：</w:t>
      </w:r>
      <w:r>
        <w:rPr>
          <w:rFonts w:hint="eastAsia" w:ascii="宋体" w:hAnsi="宋体" w:cs="宋体"/>
          <w:color w:val="000000" w:themeColor="text1"/>
          <w:sz w:val="24"/>
          <w:szCs w:val="24"/>
          <w:shd w:val="pct10" w:color="auto" w:fill="FFFFFF"/>
          <w14:textFill>
            <w14:solidFill>
              <w14:schemeClr w14:val="tx1"/>
            </w14:solidFill>
          </w14:textFill>
        </w:rPr>
        <w:t xml:space="preserve">                          </w:t>
      </w:r>
    </w:p>
    <w:bookmarkEnd w:id="60"/>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5、甲方开票信息</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bookmarkStart w:id="61" w:name="开票信息"/>
      <w:r>
        <w:rPr>
          <w:rFonts w:hint="eastAsia" w:ascii="宋体" w:hAnsi="宋体" w:cs="宋体"/>
          <w:color w:val="000000" w:themeColor="text1"/>
          <w:sz w:val="24"/>
          <w:szCs w:val="24"/>
          <w14:textFill>
            <w14:solidFill>
              <w14:schemeClr w14:val="tx1"/>
            </w14:solidFill>
          </w14:textFill>
        </w:rPr>
        <w:t xml:space="preserve">名称：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纳税人识别号：</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地址：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电话：</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联系人：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账号：</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开户行：                          </w:t>
      </w:r>
    </w:p>
    <w:bookmarkEnd w:id="61"/>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合同总金额为含税价，乙方应向甲方开具增值税专用发票，并清楚列明其中各项收费内容、增值税金额及其附加税费等相关的金额。乙方每次请款前均需按照合同要求开具符合国家法律法规及甲方要求的增值税专用发票。甲方将在取得乙方开具的增值税专用发票并认证通过后将款项支付至乙方指定的账户。若乙方开具的增值税专用发票无法由甲方成功认证通过，甲方有权拒绝付款，并要求乙方应在取得甲方退回的发票一个月内重新开具增值税专用发票，如乙方拒绝重新提供或提供的发票仍不符合法律法规和监管规定的要求，甲方有权解除本合同，并要求乙方承担由此对甲方造成的全部损失。</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六、维保条款：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1、针对产品，乙方承诺在维保期内向甲方提供免费的技术支持，并提供每</w:t>
      </w:r>
      <w:bookmarkStart w:id="62" w:name="巡检服务"/>
      <w:r>
        <w:rPr>
          <w:rFonts w:hint="eastAsia" w:ascii="宋体" w:hAnsi="宋体" w:cs="宋体"/>
          <w:color w:val="000000" w:themeColor="text1"/>
          <w:sz w:val="24"/>
          <w:szCs w:val="24"/>
          <w:u w:val="single"/>
          <w:shd w:val="pct10" w:color="auto" w:fill="FFFFFF"/>
          <w14:textFill>
            <w14:solidFill>
              <w14:schemeClr w14:val="tx1"/>
            </w14:solidFill>
          </w14:textFill>
        </w:rPr>
        <w:t xml:space="preserve">    </w:t>
      </w:r>
      <w:r>
        <w:rPr>
          <w:rFonts w:hint="eastAsia" w:ascii="宋体" w:hAnsi="宋体" w:cs="宋体"/>
          <w:color w:val="000000" w:themeColor="text1"/>
          <w:sz w:val="24"/>
          <w:szCs w:val="24"/>
          <w:shd w:val="pct10" w:color="auto" w:fill="FFFFFF"/>
          <w14:textFill>
            <w14:solidFill>
              <w14:schemeClr w14:val="tx1"/>
            </w14:solidFill>
          </w14:textFill>
        </w:rPr>
        <w:t>（季度/半年/一年）</w:t>
      </w:r>
      <w:bookmarkEnd w:id="62"/>
      <w:r>
        <w:rPr>
          <w:rFonts w:hint="eastAsia" w:ascii="宋体" w:hAnsi="宋体" w:cs="宋体"/>
          <w:color w:val="000000" w:themeColor="text1"/>
          <w:sz w:val="24"/>
          <w:szCs w:val="24"/>
          <w14:textFill>
            <w14:solidFill>
              <w14:schemeClr w14:val="tx1"/>
            </w14:solidFill>
          </w14:textFill>
        </w:rPr>
        <w:t>一次的巡检维护，此承诺不受除不可抗力以外其他任何因素的影响，维保期从甲方验收通过之日起计算。</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维保期内，乙方对所售产品的非人为故障进行免费保修服务，发现乙方所售产品不符合合同约定或存在其他质量问题经两次维修未能修复，乙方负责在同型号、同规格及同等质量范围内进行调换，如经调换仍不符合合同约定，甲方有权解除协议。乙方应退还所收甲方的货款，并赔偿由此给甲方造成的损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2、为使甲方得到及时、良好的服务，乙方承诺维保期内：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(1)7×24小时响应（7天24小时全天候响应支持服务）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(2)故障响应时间：</w:t>
      </w:r>
      <w:bookmarkStart w:id="63" w:name="远程故障响应时间"/>
      <w:r>
        <w:rPr>
          <w:rFonts w:hint="eastAsia" w:ascii="宋体" w:hAnsi="宋体" w:cs="宋体"/>
          <w:color w:val="000000" w:themeColor="text1"/>
          <w:sz w:val="24"/>
          <w:szCs w:val="24"/>
          <w14:textFill>
            <w14:solidFill>
              <w14:schemeClr w14:val="tx1"/>
            </w14:solidFill>
          </w14:textFill>
        </w:rPr>
        <w:t xml:space="preserve"> 1 </w:t>
      </w:r>
      <w:bookmarkEnd w:id="63"/>
      <w:r>
        <w:rPr>
          <w:rFonts w:hint="eastAsia" w:ascii="宋体" w:hAnsi="宋体" w:cs="宋体"/>
          <w:color w:val="000000" w:themeColor="text1"/>
          <w:sz w:val="24"/>
          <w:szCs w:val="24"/>
          <w14:textFill>
            <w14:solidFill>
              <w14:schemeClr w14:val="tx1"/>
            </w14:solidFill>
          </w14:textFill>
        </w:rPr>
        <w:t>小时（电话支持、远程诊断、提出解决方案）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(3)现场响应时间：</w:t>
      </w:r>
      <w:bookmarkStart w:id="64" w:name="现场响应时间"/>
      <w:r>
        <w:rPr>
          <w:rFonts w:hint="eastAsia" w:ascii="宋体" w:hAnsi="宋体" w:cs="宋体"/>
          <w:color w:val="000000" w:themeColor="text1"/>
          <w:sz w:val="24"/>
          <w:szCs w:val="24"/>
          <w14:textFill>
            <w14:solidFill>
              <w14:schemeClr w14:val="tx1"/>
            </w14:solidFill>
          </w14:textFill>
        </w:rPr>
        <w:t xml:space="preserve"> 2 </w:t>
      </w:r>
      <w:bookmarkEnd w:id="64"/>
      <w:r>
        <w:rPr>
          <w:rFonts w:hint="eastAsia" w:ascii="宋体" w:hAnsi="宋体" w:cs="宋体"/>
          <w:color w:val="000000" w:themeColor="text1"/>
          <w:sz w:val="24"/>
          <w:szCs w:val="24"/>
          <w14:textFill>
            <w14:solidFill>
              <w14:schemeClr w14:val="tx1"/>
            </w14:solidFill>
          </w14:textFill>
        </w:rPr>
        <w:t>小时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(4)故障解决时间：从故障发生之日起</w:t>
      </w:r>
      <w:bookmarkStart w:id="65" w:name="故障解决时间"/>
      <w:r>
        <w:rPr>
          <w:rFonts w:hint="eastAsia" w:ascii="宋体" w:hAnsi="宋体" w:cs="宋体"/>
          <w:color w:val="000000" w:themeColor="text1"/>
          <w:sz w:val="24"/>
          <w:szCs w:val="24"/>
          <w:shd w:val="pct10" w:color="auto" w:fill="FFFFFF"/>
          <w14:textFill>
            <w14:solidFill>
              <w14:schemeClr w14:val="tx1"/>
            </w14:solidFill>
          </w14:textFill>
        </w:rPr>
        <w:t xml:space="preserve">   </w:t>
      </w:r>
      <w:bookmarkEnd w:id="65"/>
      <w:r>
        <w:rPr>
          <w:rFonts w:hint="eastAsia" w:ascii="宋体" w:hAnsi="宋体" w:cs="宋体"/>
          <w:color w:val="000000" w:themeColor="text1"/>
          <w:sz w:val="24"/>
          <w:szCs w:val="24"/>
          <w14:textFill>
            <w14:solidFill>
              <w14:schemeClr w14:val="tx1"/>
            </w14:solidFill>
          </w14:textFill>
        </w:rPr>
        <w:t>小时内，乙方须将故障完全排除，恢复软件正常运行。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(5)每季度的巡检维护，并出具巡检报告。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(6)为应对系统故障等突发事件，针对本合同所售产品双方应讨论制定应急预案，乙方应配合甲方每</w:t>
      </w:r>
      <w:bookmarkStart w:id="66" w:name="应急演练频次"/>
      <w:r>
        <w:rPr>
          <w:rFonts w:hint="eastAsia" w:ascii="宋体" w:hAnsi="宋体" w:cs="宋体"/>
          <w:color w:val="000000" w:themeColor="text1"/>
          <w:sz w:val="24"/>
          <w:szCs w:val="24"/>
          <w14:textFill>
            <w14:solidFill>
              <w14:schemeClr w14:val="tx1"/>
            </w14:solidFill>
          </w14:textFill>
        </w:rPr>
        <w:t xml:space="preserve">  （季度/半年/一年）</w:t>
      </w:r>
      <w:bookmarkEnd w:id="66"/>
      <w:r>
        <w:rPr>
          <w:rFonts w:hint="eastAsia" w:ascii="宋体" w:hAnsi="宋体" w:cs="宋体"/>
          <w:color w:val="000000" w:themeColor="text1"/>
          <w:sz w:val="24"/>
          <w:szCs w:val="24"/>
          <w14:textFill>
            <w14:solidFill>
              <w14:schemeClr w14:val="tx1"/>
            </w14:solidFill>
          </w14:textFill>
        </w:rPr>
        <w:t>进行一次应急响应演练。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3、乙方设立专用服务电话和专职技术人员，随时为甲方提供技术咨询和支持。</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4、在维保期外，乙方为甲方提供有偿服务，服务合同届时另行协商签订。</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5、如甲方购买的软件产品的维护支持由第三方提供，则乙方对该软件的维护支持承担连带责任。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6、乙方保证对合同项下软件产品及其他附带产品（如有）有完全的处分权利，不存在任何法律上的争议，并对违反此项保证给甲方带来的损失承担赔偿责任。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乙方应保证甲方在使用该软件产品时，免受第三方提出侵犯其知识产权或者其他权利。如第三方就乙方提供给甲方的产品侵犯该方的专利权、版权和商业秘密提起诉讼，甲方可中止支付合同价款，乙方付费就上述指控为甲方辩护，并支付法院最终裁定的一切费用，如因此导致甲方遭受经济损失的，乙方应负责全额赔偿。</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七、对不可抗力的处理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于发生不可抗力事件（如战争、暴动、严重火灾、水灾、台风、地震、政府行为和禁令等事件），致使合同任一方不能履行合同义务时，遭受不可抗力事件影响的一方负有在合理时间内尽快通知合同对方和采取合理措施减少对方损失的义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遭受不可抗力事件影响的一方在履行前述义务后免除违约责任。除非合同目的已无法达到否则合同义务不因此免除。经合同双方协商同意，合同履行时间可合理延长，延长时间相当于因事件发生受到影响的时间。</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1、甲方无理由逾期支付本合同款的，每迟延一日，向乙方偿付欠款总额</w:t>
      </w:r>
      <w:bookmarkStart w:id="67" w:name="违约金"/>
      <w:r>
        <w:rPr>
          <w:rFonts w:hint="eastAsia" w:ascii="宋体" w:hAnsi="宋体" w:cs="宋体"/>
          <w:color w:val="000000" w:themeColor="text1"/>
          <w:sz w:val="24"/>
          <w:szCs w:val="24"/>
          <w:u w:val="single"/>
          <w14:textFill>
            <w14:solidFill>
              <w14:schemeClr w14:val="tx1"/>
            </w14:solidFill>
          </w14:textFill>
        </w:rPr>
        <w:t xml:space="preserve"> 万分之五</w:t>
      </w:r>
      <w:bookmarkEnd w:id="67"/>
      <w:r>
        <w:rPr>
          <w:rFonts w:hint="eastAsia" w:ascii="宋体" w:hAnsi="宋体" w:cs="宋体"/>
          <w:color w:val="000000" w:themeColor="text1"/>
          <w:sz w:val="24"/>
          <w:szCs w:val="24"/>
          <w14:textFill>
            <w14:solidFill>
              <w14:schemeClr w14:val="tx1"/>
            </w14:solidFill>
          </w14:textFill>
        </w:rPr>
        <w:t>的违约金。甲方无正当理由逾期支付超过30日的，乙方有权解除合同并要求甲方赔偿相应违约金。</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2、乙方逾期交付产品或提供相关服务及材料的，每迟延一日，应向甲方偿付产品款</w:t>
      </w:r>
      <w:r>
        <w:rPr>
          <w:rFonts w:hint="eastAsia" w:ascii="宋体" w:hAnsi="宋体" w:cs="宋体"/>
          <w:color w:val="000000" w:themeColor="text1"/>
          <w:sz w:val="24"/>
          <w:szCs w:val="24"/>
          <w:u w:val="single"/>
          <w14:textFill>
            <w14:solidFill>
              <w14:schemeClr w14:val="tx1"/>
            </w14:solidFill>
          </w14:textFill>
        </w:rPr>
        <w:t xml:space="preserve"> </w:t>
      </w:r>
      <w:bookmarkStart w:id="68" w:name="违约金1"/>
      <w:r>
        <w:rPr>
          <w:rFonts w:hint="eastAsia" w:ascii="宋体" w:hAnsi="宋体" w:cs="宋体"/>
          <w:color w:val="000000" w:themeColor="text1"/>
          <w:sz w:val="24"/>
          <w:szCs w:val="24"/>
          <w:u w:val="single"/>
          <w14:textFill>
            <w14:solidFill>
              <w14:schemeClr w14:val="tx1"/>
            </w14:solidFill>
          </w14:textFill>
        </w:rPr>
        <w:t xml:space="preserve">万分之五 </w:t>
      </w:r>
      <w:bookmarkEnd w:id="68"/>
      <w:r>
        <w:rPr>
          <w:rFonts w:hint="eastAsia" w:ascii="宋体" w:hAnsi="宋体" w:cs="宋体"/>
          <w:color w:val="000000" w:themeColor="text1"/>
          <w:sz w:val="24"/>
          <w:szCs w:val="24"/>
          <w14:textFill>
            <w14:solidFill>
              <w14:schemeClr w14:val="tx1"/>
            </w14:solidFill>
          </w14:textFill>
        </w:rPr>
        <w:t>的违约金；乙方延迟交付超过</w:t>
      </w:r>
      <w:bookmarkStart w:id="69" w:name="最大可接受延迟交付时间"/>
      <w:r>
        <w:rPr>
          <w:rFonts w:hint="eastAsia" w:ascii="宋体" w:hAnsi="宋体" w:cs="宋体"/>
          <w:color w:val="000000" w:themeColor="text1"/>
          <w:sz w:val="24"/>
          <w:szCs w:val="24"/>
          <w14:textFill>
            <w14:solidFill>
              <w14:schemeClr w14:val="tx1"/>
            </w14:solidFill>
          </w14:textFill>
        </w:rPr>
        <w:t>30日</w:t>
      </w:r>
      <w:bookmarkEnd w:id="69"/>
      <w:r>
        <w:rPr>
          <w:rFonts w:hint="eastAsia" w:ascii="宋体" w:hAnsi="宋体" w:cs="宋体"/>
          <w:color w:val="000000" w:themeColor="text1"/>
          <w:sz w:val="24"/>
          <w:szCs w:val="24"/>
          <w14:textFill>
            <w14:solidFill>
              <w14:schemeClr w14:val="tx1"/>
            </w14:solidFill>
          </w14:textFill>
        </w:rPr>
        <w:t>的，甲方有权解除合同并要求乙方赔偿相应违约金。</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3、单方无故中止合同视提出方为违约，违约方应向对方支付合同总价款的</w:t>
      </w:r>
      <w:bookmarkStart w:id="70" w:name="违约金2"/>
      <w:r>
        <w:rPr>
          <w:rFonts w:hint="eastAsia" w:ascii="宋体" w:hAnsi="宋体" w:cs="宋体"/>
          <w:color w:val="000000" w:themeColor="text1"/>
          <w:sz w:val="24"/>
          <w:szCs w:val="24"/>
          <w14:textFill>
            <w14:solidFill>
              <w14:schemeClr w14:val="tx1"/>
            </w14:solidFill>
          </w14:textFill>
        </w:rPr>
        <w:t>30%</w:t>
      </w:r>
      <w:bookmarkEnd w:id="70"/>
      <w:r>
        <w:rPr>
          <w:rFonts w:hint="eastAsia" w:ascii="宋体" w:hAnsi="宋体" w:cs="宋体"/>
          <w:color w:val="000000" w:themeColor="text1"/>
          <w:sz w:val="24"/>
          <w:szCs w:val="24"/>
          <w14:textFill>
            <w14:solidFill>
              <w14:schemeClr w14:val="tx1"/>
            </w14:solidFill>
          </w14:textFill>
        </w:rPr>
        <w:t>作为违约金。</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4、违约金应在明确责任后5日内支付，否则每延误一日，违约方应向守约方支付应付款</w:t>
      </w:r>
      <w:bookmarkStart w:id="71" w:name="滞纳金"/>
      <w:r>
        <w:rPr>
          <w:rFonts w:hint="eastAsia" w:ascii="宋体" w:hAnsi="宋体" w:cs="宋体"/>
          <w:color w:val="000000" w:themeColor="text1"/>
          <w:sz w:val="24"/>
          <w:szCs w:val="24"/>
          <w14:textFill>
            <w14:solidFill>
              <w14:schemeClr w14:val="tx1"/>
            </w14:solidFill>
          </w14:textFill>
        </w:rPr>
        <w:t>0.3%</w:t>
      </w:r>
      <w:bookmarkEnd w:id="71"/>
      <w:r>
        <w:rPr>
          <w:rFonts w:hint="eastAsia" w:ascii="宋体" w:hAnsi="宋体" w:cs="宋体"/>
          <w:color w:val="000000" w:themeColor="text1"/>
          <w:sz w:val="24"/>
          <w:szCs w:val="24"/>
          <w14:textFill>
            <w14:solidFill>
              <w14:schemeClr w14:val="tx1"/>
            </w14:solidFill>
          </w14:textFill>
        </w:rPr>
        <w:t>的滞纳金。</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九、送达地址</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本合同履行过程中双方的送达地址以本合同首部记载的地址为准，该送达地址适用于本合同履行中及司法机关或仲裁机构案件处理中各类文书、通知、法律文件等的送达。  </w:t>
      </w:r>
    </w:p>
    <w:p>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如果以快递形式寄送的，自发出之日起第四日即视为送达之日，快递单上载明的快递物内容即为送出方邮寄内容。因无人签收或拒绝签收等原因导致通知或法律文书被退回的，退回之日即视为送达之日。</w:t>
      </w:r>
    </w:p>
    <w:p>
      <w:pPr>
        <w:spacing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任何一方的上述联系方式中的任何事项发生变化时，该方应在变化发生之日起五日内书面通知另一方。如逾期通知，则另一方依据本条约定向首部记载的地址发出通知将被视为已经尽到了通知义务。</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十、其他条款</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1、合同的完整性</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本合同附件为本合同不可分割的部分，与合同正文具有同等法律效力。如附件内容与合同正文不一致的，以合同正文约定为准。如需变更本合同正文及附件内容的，双方应另行签署补充协议。</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乙方在本合同谈判、招标阶段向甲方提供过任何加盖有公章或由授权代理人签名的任何正式书面承诺、保证或说明，则该书面承诺、保证或说明材料中有关乙方义务、责任或承诺的内容，均构成本合同项下乙方的义务，对乙方具有同样法律约束力，但甲方明确书面同意予以免除的除外。</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合同条款的可分割性</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如果本合同的任何条款被司法机关或其它有权机关宣布为无效、非法或其它形式的不可执行，本合同其它条款仍然有效，双方均应遵照执行。</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3、保密条款</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甲乙双方书面确认，任何一方不得将合同、合同附件、与合同有关的资料等泄露给其他单位和个人。甲乙双方不得将履约过程中接触到的对方客户资料、技术资料以及其他保密信息泄露给其他单位和个人。</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4、合同使用文字及效力</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除甲乙双方另行书面约定外，本合同项下所有文件、资料、工作说明书、产品说明书、手册、书信、电传、通知、电子邮件及其他书面文件若包含中文及其他语言文字的，均应以中文或中文含义为准。</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5、因产品的质量问题发生争议需要委托相关机构进行鉴定，应由甲方委托相关第三方鉴定机构，乙方对于鉴定结果应当予以接受。 </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6、双方可制作《工作说明书》或其他文件对乙方工作内容进行规定，相关文件与主合同产生冲突的，以履行要求较为严苛者为准。</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7、因履行本合同发生的争议，由当事人协商解决，协商不成的，向甲方所在地人民法院起诉。</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8、本合同一式</w:t>
      </w:r>
      <w:bookmarkStart w:id="72" w:name="份数"/>
      <w:r>
        <w:rPr>
          <w:rFonts w:hint="eastAsia" w:ascii="宋体" w:hAnsi="宋体" w:cs="宋体"/>
          <w:color w:val="000000" w:themeColor="text1"/>
          <w:sz w:val="24"/>
          <w:szCs w:val="24"/>
          <w14:textFill>
            <w14:solidFill>
              <w14:schemeClr w14:val="tx1"/>
            </w14:solidFill>
          </w14:textFill>
        </w:rPr>
        <w:t>四</w:t>
      </w:r>
      <w:bookmarkEnd w:id="72"/>
      <w:r>
        <w:rPr>
          <w:rFonts w:hint="eastAsia" w:ascii="宋体" w:hAnsi="宋体" w:cs="宋体"/>
          <w:color w:val="000000" w:themeColor="text1"/>
          <w:sz w:val="24"/>
          <w:szCs w:val="24"/>
          <w14:textFill>
            <w14:solidFill>
              <w14:schemeClr w14:val="tx1"/>
            </w14:solidFill>
          </w14:textFill>
        </w:rPr>
        <w:t>份，甲乙双方各执</w:t>
      </w:r>
      <w:bookmarkStart w:id="73" w:name="份数1"/>
      <w:r>
        <w:rPr>
          <w:rFonts w:hint="eastAsia" w:ascii="宋体" w:hAnsi="宋体" w:cs="宋体"/>
          <w:color w:val="000000" w:themeColor="text1"/>
          <w:sz w:val="24"/>
          <w:szCs w:val="24"/>
          <w14:textFill>
            <w14:solidFill>
              <w14:schemeClr w14:val="tx1"/>
            </w14:solidFill>
          </w14:textFill>
        </w:rPr>
        <w:t>二</w:t>
      </w:r>
      <w:bookmarkEnd w:id="73"/>
      <w:r>
        <w:rPr>
          <w:rFonts w:hint="eastAsia" w:ascii="宋体" w:hAnsi="宋体" w:cs="宋体"/>
          <w:color w:val="000000" w:themeColor="text1"/>
          <w:sz w:val="24"/>
          <w:szCs w:val="24"/>
          <w14:textFill>
            <w14:solidFill>
              <w14:schemeClr w14:val="tx1"/>
            </w14:solidFill>
          </w14:textFill>
        </w:rPr>
        <w:t>份，均具同等法律效力。</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9、本合同自双方当事人签名、盖章或按指印之日起生效。传真件具有同等法律效力。</w:t>
      </w:r>
    </w:p>
    <w:p>
      <w:pPr>
        <w:widowControl/>
        <w:tabs>
          <w:tab w:val="left" w:pos="2610"/>
          <w:tab w:val="left" w:pos="5040"/>
          <w:tab w:val="left" w:pos="5400"/>
          <w:tab w:val="left" w:pos="6120"/>
          <w:tab w:val="left" w:pos="6840"/>
          <w:tab w:val="left" w:pos="7920"/>
        </w:tabs>
        <w:spacing w:before="40" w:after="4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附件一：工作说明书（或有）</w:t>
      </w:r>
    </w:p>
    <w:p>
      <w:pPr>
        <w:widowControl/>
        <w:tabs>
          <w:tab w:val="left" w:pos="2610"/>
          <w:tab w:val="left" w:pos="5040"/>
          <w:tab w:val="left" w:pos="5400"/>
          <w:tab w:val="left" w:pos="6120"/>
          <w:tab w:val="left" w:pos="6840"/>
          <w:tab w:val="left" w:pos="7920"/>
        </w:tabs>
        <w:spacing w:before="40" w:after="40" w:line="360" w:lineRule="auto"/>
        <w:ind w:firstLine="241" w:firstLineChars="1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（以下无正文）</w:t>
      </w:r>
    </w:p>
    <w:p>
      <w:pPr>
        <w:widowControl/>
        <w:tabs>
          <w:tab w:val="left" w:pos="2610"/>
          <w:tab w:val="left" w:pos="5040"/>
          <w:tab w:val="left" w:pos="5400"/>
          <w:tab w:val="left" w:pos="6120"/>
          <w:tab w:val="left" w:pos="6840"/>
          <w:tab w:val="left" w:pos="7920"/>
        </w:tabs>
        <w:spacing w:before="40" w:after="40" w:line="360" w:lineRule="auto"/>
        <w:ind w:firstLine="241" w:firstLineChars="100"/>
        <w:rPr>
          <w:rFonts w:ascii="宋体" w:hAnsi="宋体" w:cs="宋体"/>
          <w:b/>
          <w:bCs/>
          <w:color w:val="000000" w:themeColor="text1"/>
          <w:sz w:val="24"/>
          <w:szCs w:val="24"/>
          <w14:textFill>
            <w14:solidFill>
              <w14:schemeClr w14:val="tx1"/>
            </w14:solidFill>
          </w14:textFill>
        </w:rPr>
      </w:pPr>
    </w:p>
    <w:p>
      <w:pPr>
        <w:widowControl/>
        <w:tabs>
          <w:tab w:val="left" w:pos="2610"/>
          <w:tab w:val="left" w:pos="5040"/>
          <w:tab w:val="left" w:pos="5400"/>
          <w:tab w:val="left" w:pos="6120"/>
          <w:tab w:val="left" w:pos="6840"/>
          <w:tab w:val="left" w:pos="7920"/>
        </w:tabs>
        <w:spacing w:before="40" w:after="40" w:line="360" w:lineRule="auto"/>
        <w:ind w:firstLine="241" w:firstLineChars="100"/>
        <w:rPr>
          <w:rFonts w:ascii="宋体" w:hAnsi="宋体" w:cs="宋体"/>
          <w:b/>
          <w:bCs/>
          <w:color w:val="000000" w:themeColor="text1"/>
          <w:sz w:val="24"/>
          <w:szCs w:val="24"/>
          <w14:textFill>
            <w14:solidFill>
              <w14:schemeClr w14:val="tx1"/>
            </w14:solidFill>
          </w14:textFill>
        </w:rPr>
      </w:pPr>
    </w:p>
    <w:p>
      <w:pPr>
        <w:widowControl/>
        <w:tabs>
          <w:tab w:val="left" w:pos="2610"/>
          <w:tab w:val="left" w:pos="4800"/>
          <w:tab w:val="left" w:pos="6120"/>
          <w:tab w:val="left" w:pos="6840"/>
          <w:tab w:val="left" w:pos="7920"/>
        </w:tabs>
        <w:spacing w:before="40" w:after="40" w:line="360" w:lineRule="auto"/>
        <w:ind w:firstLine="241" w:firstLineChars="1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甲方：</w:t>
      </w:r>
      <w:r>
        <w:rPr>
          <w:rFonts w:hint="eastAsia" w:ascii="宋体" w:hAnsi="宋体" w:cs="宋体"/>
          <w:b/>
          <w:color w:val="000000" w:themeColor="text1"/>
          <w:sz w:val="24"/>
          <w:szCs w:val="24"/>
          <w14:textFill>
            <w14:solidFill>
              <w14:schemeClr w14:val="tx1"/>
            </w14:solidFill>
          </w14:textFill>
        </w:rPr>
        <w:t xml:space="preserve"> </w:t>
      </w:r>
      <w:r>
        <w:rPr>
          <w:rFonts w:ascii="宋体" w:hAnsi="宋体" w:cs="宋体"/>
          <w:b/>
          <w:color w:val="000000" w:themeColor="text1"/>
          <w:sz w:val="24"/>
          <w:szCs w:val="24"/>
          <w14:textFill>
            <w14:solidFill>
              <w14:schemeClr w14:val="tx1"/>
            </w14:solidFill>
          </w14:textFill>
        </w:rPr>
        <w:tab/>
      </w:r>
      <w:r>
        <w:rPr>
          <w:rFonts w:ascii="宋体" w:hAnsi="宋体" w:cs="宋体"/>
          <w:b/>
          <w:color w:val="000000" w:themeColor="text1"/>
          <w:sz w:val="24"/>
          <w:szCs w:val="24"/>
          <w14:textFill>
            <w14:solidFill>
              <w14:schemeClr w14:val="tx1"/>
            </w14:solidFill>
          </w14:textFill>
        </w:rPr>
        <w:tab/>
      </w:r>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乙方：</w:t>
      </w:r>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56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法定代表人（负责人）                       法定代表人（负责人）</w:t>
      </w:r>
    </w:p>
    <w:p>
      <w:pPr>
        <w:spacing w:line="56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或授权代理人（签名）：                      或授权代理人（签名）：</w:t>
      </w:r>
    </w:p>
    <w:p>
      <w:pPr>
        <w:spacing w:line="560" w:lineRule="exact"/>
        <w:ind w:firstLine="240" w:firstLineChars="100"/>
        <w:rPr>
          <w:rFonts w:ascii="宋体" w:hAnsi="宋体" w:cs="宋体"/>
          <w:color w:val="000000" w:themeColor="text1"/>
          <w:sz w:val="24"/>
          <w:szCs w:val="24"/>
          <w14:textFill>
            <w14:solidFill>
              <w14:schemeClr w14:val="tx1"/>
            </w14:solidFill>
          </w14:textFill>
        </w:rPr>
      </w:pPr>
    </w:p>
    <w:p>
      <w:pPr>
        <w:spacing w:line="440" w:lineRule="atLeast"/>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                    日期：     年   月   日</w:t>
      </w:r>
    </w:p>
    <w:p>
      <w:pPr>
        <w:spacing w:line="440" w:lineRule="atLeas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p>
    <w:p>
      <w:pPr>
        <w:snapToGrid w:val="0"/>
        <w:spacing w:line="500" w:lineRule="exact"/>
        <w:outlineLvl w:val="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附件6：《供应商反腐败/反贿赂承诺书》</w:t>
      </w:r>
    </w:p>
    <w:p>
      <w:pPr>
        <w:spacing w:line="50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供应商反腐败/反贿赂承诺书</w:t>
      </w:r>
    </w:p>
    <w:p>
      <w:pPr>
        <w:spacing w:line="50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江苏昆山农村商业银行股份有限公司：</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本公司自愿与贵行合作，互惠共赢，确保采购招投标活动的规范与廉洁，从源头上预防和遏制违法违纪问题的发生，特作以下承诺：</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1、在业务往来中，严格遵守国家有关的法律法规和廉洁从业规定，坚持公平、公开、公正、诚实信用的原则，决不损害国家和企业利益。</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2、本公司（含公司工作人员，下同）决不向贵行工作人员（含工作人员的配偶、子女及亲属，下同）馈赠礼品（包括但不限于现金、有价证券、支付凭证及贵重物品等）。</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3、本公司决不向贵行工作人员提供宴请、联谊活动、度假、旅游，以及到营业性娱乐场所消费。</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4、本公司决不为贵行工作人员安排工作，以及支付应由其个人自付的各种费用。</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5、若本公司发现贵行工作人员有违反本承诺书行为倾向的，应及时提醒纠正并向贵行监督管理部门举报。</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6、如发现本公司违反承诺，经贵行监督管理部门认定违规事实后，按照下列规定进行处罚。</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（1）同意按照合作项目合同总金额的5%支付违约金。</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（2）同意贵行解除相关合同，由此造成贵行的损失概由本公司完全承担并赔偿。</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（3）承担由此产生的全部法律责任。</w:t>
      </w:r>
    </w:p>
    <w:p>
      <w:pPr>
        <w:spacing w:line="500" w:lineRule="exact"/>
        <w:ind w:firstLine="600"/>
        <w:rPr>
          <w:rFonts w:ascii="仿宋_GB2312" w:hAnsi="宋体" w:eastAsia="仿宋_GB2312"/>
          <w:color w:val="000000" w:themeColor="text1"/>
          <w:sz w:val="28"/>
          <w:szCs w:val="28"/>
          <w14:textFill>
            <w14:solidFill>
              <w14:schemeClr w14:val="tx1"/>
            </w14:solidFill>
          </w14:textFill>
        </w:rPr>
      </w:pPr>
    </w:p>
    <w:p>
      <w:pPr>
        <w:spacing w:line="500" w:lineRule="exact"/>
        <w:ind w:firstLine="6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（公司加盖公章）</w:t>
      </w:r>
    </w:p>
    <w:p>
      <w:pPr>
        <w:spacing w:line="500" w:lineRule="exact"/>
        <w:ind w:firstLine="6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法定代表人/有权签署人（签名或盖章）：           </w:t>
      </w:r>
    </w:p>
    <w:p>
      <w:pPr>
        <w:spacing w:line="500" w:lineRule="exact"/>
        <w:ind w:firstLine="600"/>
        <w:jc w:val="righ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日期：        </w:t>
      </w:r>
      <w:r>
        <w:rPr>
          <w:rFonts w:ascii="仿宋_GB2312" w:hAnsi="宋体" w:eastAsia="仿宋_GB2312"/>
          <w:color w:val="000000" w:themeColor="text1"/>
          <w:sz w:val="30"/>
          <w:szCs w:val="30"/>
          <w14:textFill>
            <w14:solidFill>
              <w14:schemeClr w14:val="tx1"/>
            </w14:solidFill>
          </w14:textFill>
        </w:rPr>
        <w:t xml:space="preserve">   </w:t>
      </w:r>
    </w:p>
    <w:p>
      <w:pPr>
        <w:rPr>
          <w:color w:val="000000" w:themeColor="text1"/>
          <w14:textFill>
            <w14:solidFill>
              <w14:schemeClr w14:val="tx1"/>
            </w14:solidFill>
          </w14:textFill>
        </w:rPr>
      </w:pPr>
    </w:p>
    <w:p>
      <w:pPr>
        <w:pStyle w:val="2"/>
      </w:pPr>
    </w:p>
    <w:p>
      <w:pPr>
        <w:spacing w:line="360" w:lineRule="auto"/>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附件7：存储扩容采购项目硬件配置参数要求</w:t>
      </w: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标段一：生产对象存储（同城主备）扩容</w:t>
      </w:r>
    </w:p>
    <w:tbl>
      <w:tblPr>
        <w:tblStyle w:val="15"/>
        <w:tblW w:w="5468" w:type="pct"/>
        <w:tblInd w:w="-395" w:type="dxa"/>
        <w:tblLayout w:type="fixed"/>
        <w:tblCellMar>
          <w:top w:w="0" w:type="dxa"/>
          <w:left w:w="108" w:type="dxa"/>
          <w:bottom w:w="0" w:type="dxa"/>
          <w:right w:w="108" w:type="dxa"/>
        </w:tblCellMar>
      </w:tblPr>
      <w:tblGrid>
        <w:gridCol w:w="976"/>
        <w:gridCol w:w="1247"/>
        <w:gridCol w:w="696"/>
        <w:gridCol w:w="1321"/>
        <w:gridCol w:w="5086"/>
      </w:tblGrid>
      <w:tr>
        <w:tblPrEx>
          <w:tblCellMar>
            <w:top w:w="0" w:type="dxa"/>
            <w:left w:w="108" w:type="dxa"/>
            <w:bottom w:w="0" w:type="dxa"/>
            <w:right w:w="108" w:type="dxa"/>
          </w:tblCellMar>
        </w:tblPrEx>
        <w:trPr>
          <w:trHeight w:val="255" w:hRule="atLeast"/>
        </w:trPr>
        <w:tc>
          <w:tcPr>
            <w:tcW w:w="52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标段</w:t>
            </w:r>
          </w:p>
        </w:tc>
        <w:tc>
          <w:tcPr>
            <w:tcW w:w="66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设备名称</w:t>
            </w:r>
          </w:p>
        </w:tc>
        <w:tc>
          <w:tcPr>
            <w:tcW w:w="37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数量</w:t>
            </w:r>
          </w:p>
        </w:tc>
        <w:tc>
          <w:tcPr>
            <w:tcW w:w="3434" w:type="pct"/>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配置要求</w:t>
            </w:r>
          </w:p>
        </w:tc>
      </w:tr>
      <w:tr>
        <w:tblPrEx>
          <w:tblCellMar>
            <w:top w:w="0" w:type="dxa"/>
            <w:left w:w="108" w:type="dxa"/>
            <w:bottom w:w="0" w:type="dxa"/>
            <w:right w:w="108" w:type="dxa"/>
          </w:tblCellMar>
        </w:tblPrEx>
        <w:trPr>
          <w:trHeight w:val="152"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标段一</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rPr>
            </w:pPr>
            <w:r>
              <w:rPr>
                <w:rFonts w:hint="eastAsia" w:ascii="宋体" w:hAnsi="宋体" w:cs="宋体"/>
                <w:color w:val="000000"/>
                <w:kern w:val="0"/>
                <w:sz w:val="20"/>
                <w:lang w:bidi="ar"/>
              </w:rPr>
              <w:t>生产对象存储（同城主备）扩容</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rPr>
            </w:pPr>
            <w:r>
              <w:rPr>
                <w:rFonts w:ascii="Arial" w:hAnsi="Arial" w:cs="Arial"/>
                <w:color w:val="000000"/>
                <w:kern w:val="0"/>
                <w:sz w:val="20"/>
                <w:lang w:bidi="ar"/>
              </w:rPr>
              <w:t>6</w:t>
            </w:r>
            <w:r>
              <w:rPr>
                <w:rFonts w:hint="eastAsia" w:ascii="Arial" w:hAnsi="Arial" w:cs="Arial"/>
                <w:color w:val="000000"/>
                <w:kern w:val="0"/>
                <w:sz w:val="20"/>
                <w:lang w:bidi="ar"/>
              </w:rPr>
              <w:t>台</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品牌</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XSKY</w:t>
            </w:r>
          </w:p>
        </w:tc>
      </w:tr>
      <w:tr>
        <w:trPr>
          <w:trHeight w:val="152" w:hRule="atLeast"/>
        </w:trPr>
        <w:tc>
          <w:tcPr>
            <w:tcW w:w="523"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668"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kern w:val="0"/>
                <w:sz w:val="20"/>
                <w:lang w:bidi="ar"/>
              </w:rPr>
            </w:pPr>
          </w:p>
        </w:tc>
        <w:tc>
          <w:tcPr>
            <w:tcW w:w="373"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kern w:val="0"/>
                <w:sz w:val="20"/>
                <w:lang w:bidi="ar"/>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信创要求</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扩容节点使用鲲鹏或海光芯片，满足信创要求</w:t>
            </w:r>
          </w:p>
        </w:tc>
      </w:tr>
      <w:tr>
        <w:tblPrEx>
          <w:tblCellMar>
            <w:top w:w="0" w:type="dxa"/>
            <w:left w:w="108" w:type="dxa"/>
            <w:bottom w:w="0" w:type="dxa"/>
            <w:right w:w="108" w:type="dxa"/>
          </w:tblCellMar>
        </w:tblPrEx>
        <w:trPr>
          <w:trHeight w:val="2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存储节点</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6个存储节点(花桥和总行数据中心各3台)，硬件具备冗余性</w:t>
            </w:r>
          </w:p>
        </w:tc>
      </w:tr>
      <w:tr>
        <w:tblPrEx>
          <w:tblCellMar>
            <w:top w:w="0" w:type="dxa"/>
            <w:left w:w="108" w:type="dxa"/>
            <w:bottom w:w="0" w:type="dxa"/>
            <w:right w:w="108" w:type="dxa"/>
          </w:tblCellMar>
        </w:tblPrEx>
        <w:trPr>
          <w:trHeight w:val="51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数据保护性</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支持灵活可配置的数据保护方式，支持RAID或纠删码或副本</w:t>
            </w:r>
          </w:p>
        </w:tc>
      </w:tr>
      <w:tr>
        <w:tblPrEx>
          <w:tblCellMar>
            <w:top w:w="0" w:type="dxa"/>
            <w:left w:w="108" w:type="dxa"/>
            <w:bottom w:w="0" w:type="dxa"/>
            <w:right w:w="108" w:type="dxa"/>
          </w:tblCellMar>
        </w:tblPrEx>
        <w:trPr>
          <w:trHeight w:val="2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容灾要求</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支持多中心容灾架构；同步复制或异步复制或双活架构</w:t>
            </w:r>
          </w:p>
        </w:tc>
      </w:tr>
      <w:tr>
        <w:tblPrEx>
          <w:tblCellMar>
            <w:top w:w="0" w:type="dxa"/>
            <w:left w:w="108" w:type="dxa"/>
            <w:bottom w:w="0" w:type="dxa"/>
            <w:right w:w="108" w:type="dxa"/>
          </w:tblCellMar>
        </w:tblPrEx>
        <w:trPr>
          <w:trHeight w:val="26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软件功能</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支持S3接口协议；支持扩容至分布式存储数据池；支持统一界面管理</w:t>
            </w:r>
          </w:p>
        </w:tc>
      </w:tr>
      <w:tr>
        <w:tblPrEx>
          <w:tblCellMar>
            <w:top w:w="0" w:type="dxa"/>
            <w:left w:w="108" w:type="dxa"/>
            <w:bottom w:w="0" w:type="dxa"/>
            <w:right w:w="108" w:type="dxa"/>
          </w:tblCellMar>
        </w:tblPrEx>
        <w:trPr>
          <w:trHeight w:val="2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可用容量</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可用容量80TB</w:t>
            </w:r>
          </w:p>
        </w:tc>
      </w:tr>
      <w:tr>
        <w:tblPrEx>
          <w:tblCellMar>
            <w:top w:w="0" w:type="dxa"/>
            <w:left w:w="108" w:type="dxa"/>
            <w:bottom w:w="0" w:type="dxa"/>
            <w:right w:w="108" w:type="dxa"/>
          </w:tblCellMar>
        </w:tblPrEx>
        <w:trPr>
          <w:trHeight w:val="2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实施服务</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原厂现场实施服务</w:t>
            </w:r>
          </w:p>
        </w:tc>
      </w:tr>
      <w:tr>
        <w:tblPrEx>
          <w:tblCellMar>
            <w:top w:w="0" w:type="dxa"/>
            <w:left w:w="108" w:type="dxa"/>
            <w:bottom w:w="0" w:type="dxa"/>
            <w:right w:w="108" w:type="dxa"/>
          </w:tblCellMar>
        </w:tblPrEx>
        <w:trPr>
          <w:trHeight w:val="255"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维保服务</w:t>
            </w:r>
          </w:p>
        </w:tc>
        <w:tc>
          <w:tcPr>
            <w:tcW w:w="2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3年原厂7*24软硬件维保</w:t>
            </w:r>
          </w:p>
        </w:tc>
      </w:tr>
    </w:tbl>
    <w:p>
      <w:pPr>
        <w:spacing w:line="360" w:lineRule="auto"/>
        <w:jc w:val="left"/>
        <w:rPr>
          <w:rFonts w:ascii="仿宋" w:hAnsi="仿宋" w:eastAsia="仿宋" w:cs="仿宋"/>
          <w:b/>
          <w:bCs/>
          <w:color w:val="000000" w:themeColor="text1"/>
          <w:sz w:val="28"/>
          <w:szCs w:val="28"/>
          <w14:textFill>
            <w14:solidFill>
              <w14:schemeClr w14:val="tx1"/>
            </w14:solidFill>
          </w14:textFill>
        </w:rPr>
      </w:pP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标段二：生产NAS文件存储（同城双活）扩容</w:t>
      </w:r>
    </w:p>
    <w:tbl>
      <w:tblPr>
        <w:tblStyle w:val="15"/>
        <w:tblW w:w="9338" w:type="dxa"/>
        <w:tblInd w:w="-408" w:type="dxa"/>
        <w:tblLayout w:type="autofit"/>
        <w:tblCellMar>
          <w:top w:w="0" w:type="dxa"/>
          <w:left w:w="108" w:type="dxa"/>
          <w:bottom w:w="0" w:type="dxa"/>
          <w:right w:w="108" w:type="dxa"/>
        </w:tblCellMar>
      </w:tblPr>
      <w:tblGrid>
        <w:gridCol w:w="1198"/>
        <w:gridCol w:w="1427"/>
        <w:gridCol w:w="798"/>
        <w:gridCol w:w="5915"/>
      </w:tblGrid>
      <w:tr>
        <w:tblPrEx>
          <w:tblCellMar>
            <w:top w:w="0" w:type="dxa"/>
            <w:left w:w="108" w:type="dxa"/>
            <w:bottom w:w="0" w:type="dxa"/>
            <w:right w:w="108" w:type="dxa"/>
          </w:tblCellMar>
        </w:tblPrEx>
        <w:trPr>
          <w:trHeight w:val="285" w:hRule="atLeast"/>
        </w:trPr>
        <w:tc>
          <w:tcPr>
            <w:tcW w:w="1198" w:type="dxa"/>
            <w:tcBorders>
              <w:top w:val="single" w:color="000000" w:sz="8" w:space="0"/>
              <w:left w:val="single" w:color="000000" w:sz="8" w:space="0"/>
              <w:bottom w:val="single" w:color="000000" w:sz="8" w:space="0"/>
              <w:right w:val="single" w:color="000000" w:sz="8"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标段</w:t>
            </w:r>
          </w:p>
        </w:tc>
        <w:tc>
          <w:tcPr>
            <w:tcW w:w="1427"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设备名称</w:t>
            </w:r>
          </w:p>
        </w:tc>
        <w:tc>
          <w:tcPr>
            <w:tcW w:w="798"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数量</w:t>
            </w:r>
          </w:p>
        </w:tc>
        <w:tc>
          <w:tcPr>
            <w:tcW w:w="5915"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单台扩容配置要求</w:t>
            </w:r>
          </w:p>
        </w:tc>
      </w:tr>
      <w:tr>
        <w:tblPrEx>
          <w:tblCellMar>
            <w:top w:w="0" w:type="dxa"/>
            <w:left w:w="108" w:type="dxa"/>
            <w:bottom w:w="0" w:type="dxa"/>
            <w:right w:w="108" w:type="dxa"/>
          </w:tblCellMar>
        </w:tblPrEx>
        <w:trPr>
          <w:trHeight w:val="285" w:hRule="atLeast"/>
        </w:trPr>
        <w:tc>
          <w:tcPr>
            <w:tcW w:w="11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标段二</w:t>
            </w:r>
          </w:p>
        </w:tc>
        <w:tc>
          <w:tcPr>
            <w:tcW w:w="142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生产NAS文件存储（同城双活）扩容</w:t>
            </w:r>
          </w:p>
        </w:tc>
        <w:tc>
          <w:tcPr>
            <w:tcW w:w="79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w:t>
            </w:r>
          </w:p>
        </w:tc>
        <w:tc>
          <w:tcPr>
            <w:tcW w:w="591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扩容设备型号：OceanStor 6810F V5</w:t>
            </w:r>
          </w:p>
        </w:tc>
      </w:tr>
      <w:tr>
        <w:tblPrEx>
          <w:tblCellMar>
            <w:top w:w="0" w:type="dxa"/>
            <w:left w:w="108" w:type="dxa"/>
            <w:bottom w:w="0" w:type="dxa"/>
            <w:right w:w="108" w:type="dxa"/>
          </w:tblCellMar>
        </w:tblPrEx>
        <w:trPr>
          <w:trHeight w:val="285"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142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79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1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扩容15块7.68TB SSD NVMe Palm硬盘单元(7")</w:t>
            </w:r>
          </w:p>
        </w:tc>
      </w:tr>
      <w:tr>
        <w:tblPrEx>
          <w:tblCellMar>
            <w:top w:w="0" w:type="dxa"/>
            <w:left w:w="108" w:type="dxa"/>
            <w:bottom w:w="0" w:type="dxa"/>
            <w:right w:w="108" w:type="dxa"/>
          </w:tblCellMar>
        </w:tblPrEx>
        <w:trPr>
          <w:trHeight w:val="495"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142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79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15"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维保服务：7.68TB SSD NVMe Palm硬盘单元(7")_Hi-Care高级服务金牌+ OceanStor 7.68TB SSD；扩容维保期限跟存储维保期一致</w:t>
            </w:r>
          </w:p>
        </w:tc>
      </w:tr>
      <w:tr>
        <w:tblPrEx>
          <w:tblCellMar>
            <w:top w:w="0" w:type="dxa"/>
            <w:left w:w="108" w:type="dxa"/>
            <w:bottom w:w="0" w:type="dxa"/>
            <w:right w:w="108" w:type="dxa"/>
          </w:tblCellMar>
        </w:tblPrEx>
        <w:trPr>
          <w:trHeight w:val="285"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142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79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1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7.68TB SSD NVMe Palm硬盘单元(7")_介质保留服务-SSD(含HSSD)；扩容维保期限跟存储维保期一致</w:t>
            </w:r>
          </w:p>
        </w:tc>
      </w:tr>
      <w:tr>
        <w:tblPrEx>
          <w:tblCellMar>
            <w:top w:w="0" w:type="dxa"/>
            <w:left w:w="108" w:type="dxa"/>
            <w:bottom w:w="0" w:type="dxa"/>
            <w:right w:w="108" w:type="dxa"/>
          </w:tblCellMar>
        </w:tblPrEx>
        <w:trPr>
          <w:trHeight w:val="285" w:hRule="atLeast"/>
        </w:trPr>
        <w:tc>
          <w:tcPr>
            <w:tcW w:w="11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1427"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798"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1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服务：由原厂提供安装实施</w:t>
            </w:r>
          </w:p>
        </w:tc>
      </w:tr>
    </w:tbl>
    <w:p>
      <w:pPr>
        <w:spacing w:line="360" w:lineRule="auto"/>
        <w:jc w:val="left"/>
        <w:rPr>
          <w:rFonts w:ascii="仿宋" w:hAnsi="仿宋" w:eastAsia="仿宋" w:cs="仿宋"/>
          <w:b/>
          <w:bCs/>
          <w:color w:val="000000" w:themeColor="text1"/>
          <w:sz w:val="28"/>
          <w:szCs w:val="28"/>
          <w14:textFill>
            <w14:solidFill>
              <w14:schemeClr w14:val="tx1"/>
            </w14:solidFill>
          </w14:textFill>
        </w:rPr>
      </w:pP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标段三：测试集中式存储扩容</w:t>
      </w:r>
    </w:p>
    <w:tbl>
      <w:tblPr>
        <w:tblStyle w:val="15"/>
        <w:tblW w:w="9338" w:type="dxa"/>
        <w:tblInd w:w="-408" w:type="dxa"/>
        <w:tblLayout w:type="autofit"/>
        <w:tblCellMar>
          <w:top w:w="0" w:type="dxa"/>
          <w:left w:w="108" w:type="dxa"/>
          <w:bottom w:w="0" w:type="dxa"/>
          <w:right w:w="108" w:type="dxa"/>
        </w:tblCellMar>
      </w:tblPr>
      <w:tblGrid>
        <w:gridCol w:w="1203"/>
        <w:gridCol w:w="1092"/>
        <w:gridCol w:w="1080"/>
        <w:gridCol w:w="5963"/>
      </w:tblGrid>
      <w:tr>
        <w:tblPrEx>
          <w:tblCellMar>
            <w:top w:w="0" w:type="dxa"/>
            <w:left w:w="108" w:type="dxa"/>
            <w:bottom w:w="0" w:type="dxa"/>
            <w:right w:w="108" w:type="dxa"/>
          </w:tblCellMar>
        </w:tblPrEx>
        <w:trPr>
          <w:trHeight w:val="285" w:hRule="atLeast"/>
        </w:trPr>
        <w:tc>
          <w:tcPr>
            <w:tcW w:w="1203" w:type="dxa"/>
            <w:tcBorders>
              <w:top w:val="single" w:color="000000" w:sz="8" w:space="0"/>
              <w:left w:val="single" w:color="000000" w:sz="8" w:space="0"/>
              <w:bottom w:val="single" w:color="000000" w:sz="8" w:space="0"/>
              <w:right w:val="single" w:color="000000" w:sz="8" w:space="0"/>
            </w:tcBorders>
            <w:shd w:val="clear" w:color="auto" w:fill="D9D9D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标段</w:t>
            </w:r>
          </w:p>
        </w:tc>
        <w:tc>
          <w:tcPr>
            <w:tcW w:w="1092"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设备名称</w:t>
            </w:r>
          </w:p>
        </w:tc>
        <w:tc>
          <w:tcPr>
            <w:tcW w:w="1080"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数量</w:t>
            </w:r>
          </w:p>
        </w:tc>
        <w:tc>
          <w:tcPr>
            <w:tcW w:w="5963" w:type="dxa"/>
            <w:tcBorders>
              <w:top w:val="single" w:color="000000" w:sz="8" w:space="0"/>
              <w:left w:val="nil"/>
              <w:bottom w:val="single" w:color="000000" w:sz="8" w:space="0"/>
              <w:right w:val="single" w:color="000000" w:sz="8" w:space="0"/>
            </w:tcBorders>
            <w:shd w:val="clear" w:color="auto" w:fill="D9D9D9"/>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扩容配置要求</w:t>
            </w:r>
          </w:p>
        </w:tc>
      </w:tr>
      <w:tr>
        <w:tblPrEx>
          <w:tblCellMar>
            <w:top w:w="0" w:type="dxa"/>
            <w:left w:w="108" w:type="dxa"/>
            <w:bottom w:w="0" w:type="dxa"/>
            <w:right w:w="108" w:type="dxa"/>
          </w:tblCellMar>
        </w:tblPrEx>
        <w:trPr>
          <w:trHeight w:val="285" w:hRule="atLeast"/>
        </w:trPr>
        <w:tc>
          <w:tcPr>
            <w:tcW w:w="120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标段三</w:t>
            </w:r>
          </w:p>
        </w:tc>
        <w:tc>
          <w:tcPr>
            <w:tcW w:w="1092"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测试集中式存储扩容</w:t>
            </w: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596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扩容设备型号：OceanStor Dorado 6800 V6</w:t>
            </w:r>
          </w:p>
        </w:tc>
      </w:tr>
      <w:tr>
        <w:tblPrEx>
          <w:tblCellMar>
            <w:top w:w="0" w:type="dxa"/>
            <w:left w:w="108" w:type="dxa"/>
            <w:bottom w:w="0" w:type="dxa"/>
            <w:right w:w="108" w:type="dxa"/>
          </w:tblCellMar>
        </w:tblPrEx>
        <w:trPr>
          <w:trHeight w:val="285" w:hRule="atLeast"/>
        </w:trPr>
        <w:tc>
          <w:tcPr>
            <w:tcW w:w="1203"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92"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6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扩容23块3.84TB SSD SAS硬盘单元(2.5")</w:t>
            </w:r>
          </w:p>
        </w:tc>
      </w:tr>
      <w:tr>
        <w:tblPrEx>
          <w:tblCellMar>
            <w:top w:w="0" w:type="dxa"/>
            <w:left w:w="108" w:type="dxa"/>
            <w:bottom w:w="0" w:type="dxa"/>
            <w:right w:w="108" w:type="dxa"/>
          </w:tblCellMar>
        </w:tblPrEx>
        <w:trPr>
          <w:trHeight w:val="495" w:hRule="atLeast"/>
        </w:trPr>
        <w:tc>
          <w:tcPr>
            <w:tcW w:w="1203"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92"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63"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维保服务：3.84TB SSD SAS硬盘单元(2.5")_Hi-Care高级服务金牌+ Dorado 5X00/6X00 3.2TB-4TB SSD；扩容维保期限跟存储维保期一致</w:t>
            </w:r>
          </w:p>
        </w:tc>
      </w:tr>
      <w:tr>
        <w:tblPrEx>
          <w:tblCellMar>
            <w:top w:w="0" w:type="dxa"/>
            <w:left w:w="108" w:type="dxa"/>
            <w:bottom w:w="0" w:type="dxa"/>
            <w:right w:w="108" w:type="dxa"/>
          </w:tblCellMar>
        </w:tblPrEx>
        <w:trPr>
          <w:trHeight w:val="285" w:hRule="atLeast"/>
        </w:trPr>
        <w:tc>
          <w:tcPr>
            <w:tcW w:w="1203"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92"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6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3.84TB SSD SAS硬盘单元(2.5")_介质保留服务-SSD(含HSSD) ；扩容维保期限跟存储维保期一致</w:t>
            </w:r>
          </w:p>
        </w:tc>
      </w:tr>
      <w:tr>
        <w:tblPrEx>
          <w:tblCellMar>
            <w:top w:w="0" w:type="dxa"/>
            <w:left w:w="108" w:type="dxa"/>
            <w:bottom w:w="0" w:type="dxa"/>
            <w:right w:w="108" w:type="dxa"/>
          </w:tblCellMar>
        </w:tblPrEx>
        <w:trPr>
          <w:trHeight w:val="285" w:hRule="atLeast"/>
        </w:trPr>
        <w:tc>
          <w:tcPr>
            <w:tcW w:w="1203"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92"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000000"/>
                <w:sz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000000"/>
                <w:sz w:val="20"/>
              </w:rPr>
            </w:pPr>
          </w:p>
        </w:tc>
        <w:tc>
          <w:tcPr>
            <w:tcW w:w="5963"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服务：由原厂提供安装实施</w:t>
            </w:r>
          </w:p>
        </w:tc>
      </w:tr>
    </w:tbl>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标段四：苏州农商银行存储扩容</w:t>
      </w:r>
    </w:p>
    <w:tbl>
      <w:tblPr>
        <w:tblStyle w:val="15"/>
        <w:tblW w:w="10011" w:type="dxa"/>
        <w:tblInd w:w="-1133" w:type="dxa"/>
        <w:tblLayout w:type="fixed"/>
        <w:tblCellMar>
          <w:top w:w="0" w:type="dxa"/>
          <w:left w:w="108" w:type="dxa"/>
          <w:bottom w:w="0" w:type="dxa"/>
          <w:right w:w="108" w:type="dxa"/>
        </w:tblCellMar>
      </w:tblPr>
      <w:tblGrid>
        <w:gridCol w:w="650"/>
        <w:gridCol w:w="1642"/>
        <w:gridCol w:w="725"/>
        <w:gridCol w:w="1372"/>
        <w:gridCol w:w="5622"/>
      </w:tblGrid>
      <w:tr>
        <w:tblPrEx>
          <w:tblCellMar>
            <w:top w:w="0" w:type="dxa"/>
            <w:left w:w="108" w:type="dxa"/>
            <w:bottom w:w="0" w:type="dxa"/>
            <w:right w:w="108" w:type="dxa"/>
          </w:tblCellMar>
        </w:tblPrEx>
        <w:trPr>
          <w:trHeight w:val="3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0"/>
                <w:lang w:bidi="ar"/>
              </w:rPr>
              <w:t>序号</w:t>
            </w:r>
          </w:p>
        </w:tc>
        <w:tc>
          <w:tcPr>
            <w:tcW w:w="164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设备型号</w:t>
            </w:r>
          </w:p>
        </w:tc>
        <w:tc>
          <w:tcPr>
            <w:tcW w:w="7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数量</w:t>
            </w:r>
          </w:p>
        </w:tc>
        <w:tc>
          <w:tcPr>
            <w:tcW w:w="6994" w:type="dxa"/>
            <w:gridSpan w:val="2"/>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单台配置要求</w:t>
            </w:r>
          </w:p>
        </w:tc>
      </w:tr>
      <w:tr>
        <w:tblPrEx>
          <w:tblCellMar>
            <w:top w:w="0" w:type="dxa"/>
            <w:left w:w="108" w:type="dxa"/>
            <w:bottom w:w="0" w:type="dxa"/>
            <w:right w:w="108" w:type="dxa"/>
          </w:tblCellMar>
        </w:tblPrEx>
        <w:trPr>
          <w:trHeight w:val="3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华为OceanStor Dorado 5500 V6</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品牌型号</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华为OceanStor Dorado 5500 V6</w:t>
            </w:r>
          </w:p>
        </w:tc>
      </w:tr>
      <w:tr>
        <w:tblPrEx>
          <w:tblCellMar>
            <w:top w:w="0" w:type="dxa"/>
            <w:left w:w="108" w:type="dxa"/>
            <w:bottom w:w="0" w:type="dxa"/>
            <w:right w:w="108" w:type="dxa"/>
          </w:tblCellMar>
        </w:tblPrEx>
        <w:trPr>
          <w:trHeight w:val="4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高可用</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每台存储控制器数量≥2，所有设备具备冗余电源，要求在多种硬件故障（包括但不限于控制器、链路、盘柜等）情况下实现RTO=0，RPO=0</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CPU、缓存</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CPU采用多核处理器（≥48核）；缓存≥512GB</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容量需求</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全NVMe SSD，支持Hot Spare盘，RAID5或6后可用容量≥120TiB</w:t>
            </w:r>
          </w:p>
        </w:tc>
      </w:tr>
      <w:tr>
        <w:tblPrEx>
          <w:tblCellMar>
            <w:top w:w="0" w:type="dxa"/>
            <w:left w:w="108" w:type="dxa"/>
            <w:bottom w:w="0" w:type="dxa"/>
            <w:right w:w="108" w:type="dxa"/>
          </w:tblCellMar>
        </w:tblPrEx>
        <w:trPr>
          <w:trHeight w:val="4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IO模块</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光纤卡≥4块，每块光纤卡≥4口，每个口≥16GB（带模块），支持FC协议；网卡≥2块（10Gb光口、带模块，用作仲裁）；ROCE网卡≥6块（每块4口，速率不低于25Gb，带模块，用于存储NOF+网络配置）</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软件功能</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支持块存储双活、去重和压缩功能、远程复制、克隆快照功能、HyperCDP、自动精简配置等</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维保服务</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五年原厂7*24软硬件维保</w:t>
            </w:r>
          </w:p>
        </w:tc>
      </w:tr>
      <w:tr>
        <w:tblPrEx>
          <w:tblCellMar>
            <w:top w:w="0" w:type="dxa"/>
            <w:left w:w="108" w:type="dxa"/>
            <w:bottom w:w="0" w:type="dxa"/>
            <w:right w:w="108" w:type="dxa"/>
          </w:tblCellMar>
        </w:tblPrEx>
        <w:trPr>
          <w:trHeight w:val="34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线材</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万兆多模（LC-LC）光纤线（清华同方）：蓝色2米8根、3米8根。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超六类网线（泛达）：红色2米2根、3米2根；蓝色2米2根、3米2根。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其他要求</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交货期：合同签订后一个月内</w:t>
            </w:r>
          </w:p>
        </w:tc>
      </w:tr>
      <w:tr>
        <w:tblPrEx>
          <w:tblCellMar>
            <w:top w:w="0" w:type="dxa"/>
            <w:left w:w="108" w:type="dxa"/>
            <w:bottom w:w="0" w:type="dxa"/>
            <w:right w:w="108" w:type="dxa"/>
          </w:tblCellMar>
        </w:tblPrEx>
        <w:trPr>
          <w:trHeight w:val="3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2</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Dorado 6800 V6四控</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品牌型号</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华为OceanStor Dorado 6800 V6</w:t>
            </w:r>
          </w:p>
        </w:tc>
      </w:tr>
      <w:tr>
        <w:tblPrEx>
          <w:tblCellMar>
            <w:top w:w="0" w:type="dxa"/>
            <w:left w:w="108" w:type="dxa"/>
            <w:bottom w:w="0" w:type="dxa"/>
            <w:right w:w="108" w:type="dxa"/>
          </w:tblCellMar>
        </w:tblPrEx>
        <w:trPr>
          <w:trHeight w:val="4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高可用</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每台存储控制器数量≥4，所有设备具备冗余电源，要求在多种硬件故障（包括但不限于控制器、链路、盘柜等）情况下实现RTO=0，RPO=0</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CPU、缓存</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CPU采用多核处理器；总缓存≥1024GB</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容量需求</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全NVMe SSD，支持Hot Spare盘，RAID5或6后可用容量≥120TiB</w:t>
            </w:r>
          </w:p>
        </w:tc>
      </w:tr>
      <w:tr>
        <w:tblPrEx>
          <w:tblCellMar>
            <w:top w:w="0" w:type="dxa"/>
            <w:left w:w="108" w:type="dxa"/>
            <w:bottom w:w="0" w:type="dxa"/>
            <w:right w:w="108" w:type="dxa"/>
          </w:tblCellMar>
        </w:tblPrEx>
        <w:trPr>
          <w:trHeight w:val="4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IO模块</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光纤卡≥4块，每块光纤卡≥4口，每个口≥32GB（带模块），支持FC协议；网卡≥4块（10Gb光口、带模块）；ROCE网卡≥4块（每块4口，速率不低于25Gb，带模块，用于存储NOF+网络配置）</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软件功能</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支持块存储双活、去重和压缩功能、远程复制、克隆快照功能、HyperCDP、自动精简配置等</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维保服务</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五年原厂7*24软硬件维保</w:t>
            </w:r>
          </w:p>
        </w:tc>
      </w:tr>
      <w:tr>
        <w:tblPrEx>
          <w:tblCellMar>
            <w:top w:w="0" w:type="dxa"/>
            <w:left w:w="108" w:type="dxa"/>
            <w:bottom w:w="0" w:type="dxa"/>
            <w:right w:w="108" w:type="dxa"/>
          </w:tblCellMar>
        </w:tblPrEx>
        <w:trPr>
          <w:trHeight w:val="3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线材</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万兆多模（LC-LC）光纤线（清华同方）：蓝色2米8根、3米8根。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超六类网线（泛达）：红色2米2根、3米2根；蓝色2米2根、3米2根。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其他要求</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交货期：合同签订后一个月内</w:t>
            </w:r>
          </w:p>
        </w:tc>
      </w:tr>
      <w:tr>
        <w:tblPrEx>
          <w:tblCellMar>
            <w:top w:w="0" w:type="dxa"/>
            <w:left w:w="108" w:type="dxa"/>
            <w:bottom w:w="0" w:type="dxa"/>
            <w:right w:w="108" w:type="dxa"/>
          </w:tblCellMar>
        </w:tblPrEx>
        <w:trPr>
          <w:trHeight w:val="3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3</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OceanStor Pacific 9546</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品牌型号</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华为OceanStor Pacific 9546</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节点</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OceanStor Pacific 9546（1机箱2节点），配置3个机箱，总计6个节点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容量</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总可用容量不少于1.6PB（需配置总缓存盘：12块3.2TB SSD NVMe ）</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处理器</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每机箱配置处理器2块kunpeng920（64C 2.6GHz）,</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内存</w:t>
            </w:r>
          </w:p>
        </w:tc>
        <w:tc>
          <w:tcPr>
            <w:tcW w:w="5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每机箱内存384GB或以上</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IO模块</w:t>
            </w:r>
          </w:p>
        </w:tc>
        <w:tc>
          <w:tcPr>
            <w:tcW w:w="5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每机箱不少于4*25GE网口</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软件功能</w:t>
            </w:r>
          </w:p>
        </w:tc>
        <w:tc>
          <w:tcPr>
            <w:tcW w:w="5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支持配置S3 (S3 V2 REST API以及S3 V4 REST API)标准协议，支持NFS等通用协议</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维保服务</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五年原厂7*24软硬件维保</w:t>
            </w:r>
          </w:p>
        </w:tc>
      </w:tr>
      <w:tr>
        <w:tblPrEx>
          <w:tblCellMar>
            <w:top w:w="0" w:type="dxa"/>
            <w:left w:w="108" w:type="dxa"/>
            <w:bottom w:w="0" w:type="dxa"/>
            <w:right w:w="108" w:type="dxa"/>
          </w:tblCellMar>
        </w:tblPrEx>
        <w:trPr>
          <w:trHeight w:val="3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线材</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万兆多模（LC-LC）光纤线（清华同方）：蓝色2米8根、3米8根。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超六类网线（泛达）：红色2米2根、3米2根；蓝色2米2根、3米2根。</w:t>
            </w:r>
          </w:p>
        </w:tc>
      </w:tr>
      <w:tr>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其他要求</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交货期：合同签订后一个月内</w:t>
            </w:r>
          </w:p>
        </w:tc>
      </w:tr>
      <w:tr>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4</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存储软件及工具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存储软件及工具</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1、赠送存储管理软件</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2、提供对象存储数据迁移工具</w:t>
            </w:r>
          </w:p>
        </w:tc>
      </w:tr>
    </w:tbl>
    <w:p>
      <w:pPr>
        <w:pStyle w:val="2"/>
      </w:pP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FZXiaoBiaoSong-B05S">
    <w:altName w:val="微软雅黑"/>
    <w:panose1 w:val="00000000000000000000"/>
    <w:charset w:val="00"/>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990495"/>
    </w:sdtPr>
    <w:sdtContent>
      <w:sdt>
        <w:sdtPr>
          <w:id w:val="-1669238322"/>
        </w:sdtPr>
        <w:sdtContent>
          <w:p>
            <w:pPr>
              <w:pStyle w:val="11"/>
              <w:jc w:val="center"/>
            </w:pP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p>
        </w:sdtContent>
      </w:sdt>
    </w:sdtContent>
  </w:sdt>
  <w:p>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D67"/>
    <w:multiLevelType w:val="multilevel"/>
    <w:tmpl w:val="24865D67"/>
    <w:lvl w:ilvl="0" w:tentative="0">
      <w:start w:val="1"/>
      <w:numFmt w:val="bullet"/>
      <w:lvlText w:val=""/>
      <w:lvlJc w:val="left"/>
      <w:pPr>
        <w:ind w:left="874" w:hanging="420"/>
      </w:pPr>
      <w:rPr>
        <w:rFonts w:hint="default" w:ascii="Wingdings" w:hAnsi="Wingdings"/>
      </w:rPr>
    </w:lvl>
    <w:lvl w:ilvl="1" w:tentative="0">
      <w:start w:val="1"/>
      <w:numFmt w:val="bullet"/>
      <w:lvlText w:val=""/>
      <w:lvlJc w:val="left"/>
      <w:pPr>
        <w:ind w:left="1294" w:hanging="420"/>
      </w:pPr>
      <w:rPr>
        <w:rFonts w:hint="default" w:ascii="Wingdings" w:hAnsi="Wingdings"/>
      </w:rPr>
    </w:lvl>
    <w:lvl w:ilvl="2" w:tentative="0">
      <w:start w:val="1"/>
      <w:numFmt w:val="bullet"/>
      <w:lvlText w:val=""/>
      <w:lvlJc w:val="left"/>
      <w:pPr>
        <w:ind w:left="1714" w:hanging="420"/>
      </w:pPr>
      <w:rPr>
        <w:rFonts w:hint="default" w:ascii="Wingdings" w:hAnsi="Wingdings"/>
      </w:rPr>
    </w:lvl>
    <w:lvl w:ilvl="3" w:tentative="0">
      <w:start w:val="1"/>
      <w:numFmt w:val="bullet"/>
      <w:lvlText w:val=""/>
      <w:lvlJc w:val="left"/>
      <w:pPr>
        <w:ind w:left="2134" w:hanging="420"/>
      </w:pPr>
      <w:rPr>
        <w:rFonts w:hint="default" w:ascii="Wingdings" w:hAnsi="Wingdings"/>
      </w:rPr>
    </w:lvl>
    <w:lvl w:ilvl="4" w:tentative="0">
      <w:start w:val="1"/>
      <w:numFmt w:val="bullet"/>
      <w:lvlText w:val=""/>
      <w:lvlJc w:val="left"/>
      <w:pPr>
        <w:ind w:left="2554" w:hanging="420"/>
      </w:pPr>
      <w:rPr>
        <w:rFonts w:hint="default" w:ascii="Wingdings" w:hAnsi="Wingdings"/>
      </w:rPr>
    </w:lvl>
    <w:lvl w:ilvl="5" w:tentative="0">
      <w:start w:val="1"/>
      <w:numFmt w:val="bullet"/>
      <w:lvlText w:val=""/>
      <w:lvlJc w:val="left"/>
      <w:pPr>
        <w:ind w:left="2974" w:hanging="420"/>
      </w:pPr>
      <w:rPr>
        <w:rFonts w:hint="default" w:ascii="Wingdings" w:hAnsi="Wingdings"/>
      </w:rPr>
    </w:lvl>
    <w:lvl w:ilvl="6" w:tentative="0">
      <w:start w:val="1"/>
      <w:numFmt w:val="bullet"/>
      <w:lvlText w:val=""/>
      <w:lvlJc w:val="left"/>
      <w:pPr>
        <w:ind w:left="3394" w:hanging="420"/>
      </w:pPr>
      <w:rPr>
        <w:rFonts w:hint="default" w:ascii="Wingdings" w:hAnsi="Wingdings"/>
      </w:rPr>
    </w:lvl>
    <w:lvl w:ilvl="7" w:tentative="0">
      <w:start w:val="1"/>
      <w:numFmt w:val="bullet"/>
      <w:lvlText w:val=""/>
      <w:lvlJc w:val="left"/>
      <w:pPr>
        <w:ind w:left="3814" w:hanging="420"/>
      </w:pPr>
      <w:rPr>
        <w:rFonts w:hint="default" w:ascii="Wingdings" w:hAnsi="Wingdings"/>
      </w:rPr>
    </w:lvl>
    <w:lvl w:ilvl="8" w:tentative="0">
      <w:start w:val="1"/>
      <w:numFmt w:val="bullet"/>
      <w:lvlText w:val=""/>
      <w:lvlJc w:val="left"/>
      <w:pPr>
        <w:ind w:left="4234" w:hanging="420"/>
      </w:pPr>
      <w:rPr>
        <w:rFonts w:hint="default" w:ascii="Wingdings" w:hAnsi="Wingdings"/>
      </w:rPr>
    </w:lvl>
  </w:abstractNum>
  <w:abstractNum w:abstractNumId="1">
    <w:nsid w:val="24CC5A9B"/>
    <w:multiLevelType w:val="multilevel"/>
    <w:tmpl w:val="24CC5A9B"/>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
    <w:nsid w:val="5279BCCF"/>
    <w:multiLevelType w:val="singleLevel"/>
    <w:tmpl w:val="5279BCCF"/>
    <w:lvl w:ilvl="0" w:tentative="0">
      <w:start w:val="1"/>
      <w:numFmt w:val="chineseCounting"/>
      <w:suff w:val="nothing"/>
      <w:lvlText w:val="%1、"/>
      <w:lvlJc w:val="left"/>
    </w:lvl>
  </w:abstractNum>
  <w:abstractNum w:abstractNumId="3">
    <w:nsid w:val="7AD926DC"/>
    <w:multiLevelType w:val="multilevel"/>
    <w:tmpl w:val="7AD926DC"/>
    <w:lvl w:ilvl="0" w:tentative="0">
      <w:start w:val="1"/>
      <w:numFmt w:val="japaneseCounting"/>
      <w:lvlText w:val="%1、"/>
      <w:lvlJc w:val="left"/>
      <w:pPr>
        <w:ind w:left="787" w:hanging="50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638"/>
    <w:rsid w:val="00094D92"/>
    <w:rsid w:val="000A153C"/>
    <w:rsid w:val="000A30E3"/>
    <w:rsid w:val="000B1691"/>
    <w:rsid w:val="000B6DB9"/>
    <w:rsid w:val="000C0837"/>
    <w:rsid w:val="000C0EF3"/>
    <w:rsid w:val="000D07F3"/>
    <w:rsid w:val="000D0AE4"/>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9249D"/>
    <w:rsid w:val="001A166F"/>
    <w:rsid w:val="001A1ABD"/>
    <w:rsid w:val="001A6DE3"/>
    <w:rsid w:val="001A7267"/>
    <w:rsid w:val="001C1F18"/>
    <w:rsid w:val="001C44DB"/>
    <w:rsid w:val="001C6678"/>
    <w:rsid w:val="001D0CED"/>
    <w:rsid w:val="001D1C70"/>
    <w:rsid w:val="001D4125"/>
    <w:rsid w:val="001D466D"/>
    <w:rsid w:val="001E0BEF"/>
    <w:rsid w:val="001E5F21"/>
    <w:rsid w:val="001F1B7B"/>
    <w:rsid w:val="0021412E"/>
    <w:rsid w:val="002211D7"/>
    <w:rsid w:val="00231A01"/>
    <w:rsid w:val="00240D76"/>
    <w:rsid w:val="0024220F"/>
    <w:rsid w:val="00253702"/>
    <w:rsid w:val="0025451C"/>
    <w:rsid w:val="002608ED"/>
    <w:rsid w:val="002643E7"/>
    <w:rsid w:val="002651E5"/>
    <w:rsid w:val="00265D38"/>
    <w:rsid w:val="0026681B"/>
    <w:rsid w:val="00272FC6"/>
    <w:rsid w:val="00273D10"/>
    <w:rsid w:val="0027566E"/>
    <w:rsid w:val="002761F0"/>
    <w:rsid w:val="002938DA"/>
    <w:rsid w:val="0029574A"/>
    <w:rsid w:val="00295CC0"/>
    <w:rsid w:val="002A3E7E"/>
    <w:rsid w:val="002C5AD4"/>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41A"/>
    <w:rsid w:val="00371B2D"/>
    <w:rsid w:val="003834B2"/>
    <w:rsid w:val="00390048"/>
    <w:rsid w:val="00393834"/>
    <w:rsid w:val="0039556F"/>
    <w:rsid w:val="003A4EA0"/>
    <w:rsid w:val="003B12D8"/>
    <w:rsid w:val="003B32D1"/>
    <w:rsid w:val="003C11D3"/>
    <w:rsid w:val="003C744F"/>
    <w:rsid w:val="003D7CAA"/>
    <w:rsid w:val="0040249C"/>
    <w:rsid w:val="004070A9"/>
    <w:rsid w:val="00410A2E"/>
    <w:rsid w:val="0043354C"/>
    <w:rsid w:val="00442978"/>
    <w:rsid w:val="004452A0"/>
    <w:rsid w:val="00455A6C"/>
    <w:rsid w:val="00455DA4"/>
    <w:rsid w:val="00464925"/>
    <w:rsid w:val="00481E2D"/>
    <w:rsid w:val="00486AEE"/>
    <w:rsid w:val="0049043E"/>
    <w:rsid w:val="00493194"/>
    <w:rsid w:val="004A1A9A"/>
    <w:rsid w:val="004B4DB9"/>
    <w:rsid w:val="004B5177"/>
    <w:rsid w:val="004C3100"/>
    <w:rsid w:val="004C55CC"/>
    <w:rsid w:val="004D50BE"/>
    <w:rsid w:val="004E33F5"/>
    <w:rsid w:val="004E36A1"/>
    <w:rsid w:val="004E73AA"/>
    <w:rsid w:val="004F1058"/>
    <w:rsid w:val="004F5E0D"/>
    <w:rsid w:val="005139A6"/>
    <w:rsid w:val="005143CB"/>
    <w:rsid w:val="0051745A"/>
    <w:rsid w:val="005272EC"/>
    <w:rsid w:val="0054171B"/>
    <w:rsid w:val="00541C39"/>
    <w:rsid w:val="00541E8C"/>
    <w:rsid w:val="00542E4A"/>
    <w:rsid w:val="00542FA7"/>
    <w:rsid w:val="00547C61"/>
    <w:rsid w:val="00552C8E"/>
    <w:rsid w:val="0056149B"/>
    <w:rsid w:val="0056496F"/>
    <w:rsid w:val="005659C3"/>
    <w:rsid w:val="00583414"/>
    <w:rsid w:val="005930E4"/>
    <w:rsid w:val="00596539"/>
    <w:rsid w:val="005B096A"/>
    <w:rsid w:val="005B54A2"/>
    <w:rsid w:val="005C1224"/>
    <w:rsid w:val="005C29D0"/>
    <w:rsid w:val="005D2380"/>
    <w:rsid w:val="005D5D27"/>
    <w:rsid w:val="00602E70"/>
    <w:rsid w:val="0061429A"/>
    <w:rsid w:val="006250DE"/>
    <w:rsid w:val="00633D07"/>
    <w:rsid w:val="00647203"/>
    <w:rsid w:val="00654A1F"/>
    <w:rsid w:val="006602E3"/>
    <w:rsid w:val="00660FA8"/>
    <w:rsid w:val="006614A7"/>
    <w:rsid w:val="006630B1"/>
    <w:rsid w:val="0066507C"/>
    <w:rsid w:val="00667461"/>
    <w:rsid w:val="006A392D"/>
    <w:rsid w:val="006A59C2"/>
    <w:rsid w:val="006A5EC1"/>
    <w:rsid w:val="006D425A"/>
    <w:rsid w:val="006E0B7A"/>
    <w:rsid w:val="006E0E32"/>
    <w:rsid w:val="006E1A4C"/>
    <w:rsid w:val="006E4854"/>
    <w:rsid w:val="006E5C8E"/>
    <w:rsid w:val="006E6502"/>
    <w:rsid w:val="006F65DB"/>
    <w:rsid w:val="0070058C"/>
    <w:rsid w:val="00703590"/>
    <w:rsid w:val="00716964"/>
    <w:rsid w:val="00717B92"/>
    <w:rsid w:val="00724124"/>
    <w:rsid w:val="0072512B"/>
    <w:rsid w:val="0074007C"/>
    <w:rsid w:val="0074076E"/>
    <w:rsid w:val="0075211C"/>
    <w:rsid w:val="00774AA5"/>
    <w:rsid w:val="00781446"/>
    <w:rsid w:val="00785EAB"/>
    <w:rsid w:val="007A335A"/>
    <w:rsid w:val="007B035C"/>
    <w:rsid w:val="007B28BB"/>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2E92"/>
    <w:rsid w:val="008A6C8E"/>
    <w:rsid w:val="008B0571"/>
    <w:rsid w:val="008B3B92"/>
    <w:rsid w:val="008C5309"/>
    <w:rsid w:val="008D427F"/>
    <w:rsid w:val="008E1232"/>
    <w:rsid w:val="008E2101"/>
    <w:rsid w:val="008E28BF"/>
    <w:rsid w:val="008E5BFF"/>
    <w:rsid w:val="008F0C62"/>
    <w:rsid w:val="008F12E6"/>
    <w:rsid w:val="008F17BA"/>
    <w:rsid w:val="00911899"/>
    <w:rsid w:val="0091196D"/>
    <w:rsid w:val="0091281C"/>
    <w:rsid w:val="00914188"/>
    <w:rsid w:val="00915BB1"/>
    <w:rsid w:val="00946632"/>
    <w:rsid w:val="00963D0C"/>
    <w:rsid w:val="00972400"/>
    <w:rsid w:val="009778C1"/>
    <w:rsid w:val="0098295E"/>
    <w:rsid w:val="009856DE"/>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546AB"/>
    <w:rsid w:val="00A56F19"/>
    <w:rsid w:val="00A572CF"/>
    <w:rsid w:val="00A60D55"/>
    <w:rsid w:val="00A62C4E"/>
    <w:rsid w:val="00A62D62"/>
    <w:rsid w:val="00A64122"/>
    <w:rsid w:val="00A71372"/>
    <w:rsid w:val="00A82BDD"/>
    <w:rsid w:val="00A82D31"/>
    <w:rsid w:val="00A91AEB"/>
    <w:rsid w:val="00AA4932"/>
    <w:rsid w:val="00AB5E98"/>
    <w:rsid w:val="00AB6DF0"/>
    <w:rsid w:val="00AC73E9"/>
    <w:rsid w:val="00AD40AC"/>
    <w:rsid w:val="00AD6DD4"/>
    <w:rsid w:val="00AE08D8"/>
    <w:rsid w:val="00AF39B7"/>
    <w:rsid w:val="00AF7D10"/>
    <w:rsid w:val="00B05020"/>
    <w:rsid w:val="00B0674C"/>
    <w:rsid w:val="00B07308"/>
    <w:rsid w:val="00B215FD"/>
    <w:rsid w:val="00B27AF9"/>
    <w:rsid w:val="00B30D14"/>
    <w:rsid w:val="00B32F76"/>
    <w:rsid w:val="00B7114E"/>
    <w:rsid w:val="00B7180B"/>
    <w:rsid w:val="00B7229E"/>
    <w:rsid w:val="00B822C1"/>
    <w:rsid w:val="00B86790"/>
    <w:rsid w:val="00B91439"/>
    <w:rsid w:val="00B92A65"/>
    <w:rsid w:val="00B97C1B"/>
    <w:rsid w:val="00BA3EC6"/>
    <w:rsid w:val="00BA5317"/>
    <w:rsid w:val="00BD1570"/>
    <w:rsid w:val="00BD4987"/>
    <w:rsid w:val="00BE2C79"/>
    <w:rsid w:val="00BE542F"/>
    <w:rsid w:val="00BE5468"/>
    <w:rsid w:val="00BF4429"/>
    <w:rsid w:val="00BF5D4D"/>
    <w:rsid w:val="00BF7F77"/>
    <w:rsid w:val="00C27A8E"/>
    <w:rsid w:val="00C345DE"/>
    <w:rsid w:val="00C37BFC"/>
    <w:rsid w:val="00C42613"/>
    <w:rsid w:val="00C519AE"/>
    <w:rsid w:val="00C53313"/>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97C10"/>
    <w:rsid w:val="00DA1A00"/>
    <w:rsid w:val="00DA393E"/>
    <w:rsid w:val="00DB4AC9"/>
    <w:rsid w:val="00DD2679"/>
    <w:rsid w:val="00DE17FF"/>
    <w:rsid w:val="00DE3FC0"/>
    <w:rsid w:val="00DF0D0D"/>
    <w:rsid w:val="00DF1DFF"/>
    <w:rsid w:val="00DF36F7"/>
    <w:rsid w:val="00DF4381"/>
    <w:rsid w:val="00DF4980"/>
    <w:rsid w:val="00E0371F"/>
    <w:rsid w:val="00E15E72"/>
    <w:rsid w:val="00E23041"/>
    <w:rsid w:val="00E33B49"/>
    <w:rsid w:val="00E37F68"/>
    <w:rsid w:val="00E41417"/>
    <w:rsid w:val="00E46334"/>
    <w:rsid w:val="00E56E6E"/>
    <w:rsid w:val="00E6752E"/>
    <w:rsid w:val="00E75F0F"/>
    <w:rsid w:val="00E82D36"/>
    <w:rsid w:val="00E85FAF"/>
    <w:rsid w:val="00E967C4"/>
    <w:rsid w:val="00EA5221"/>
    <w:rsid w:val="00EA5C89"/>
    <w:rsid w:val="00EC6CE4"/>
    <w:rsid w:val="00EE0BEB"/>
    <w:rsid w:val="00EF4CCE"/>
    <w:rsid w:val="00EF70E4"/>
    <w:rsid w:val="00F04025"/>
    <w:rsid w:val="00F12ED9"/>
    <w:rsid w:val="00F23099"/>
    <w:rsid w:val="00F2431D"/>
    <w:rsid w:val="00F312D3"/>
    <w:rsid w:val="00F338F3"/>
    <w:rsid w:val="00F3411A"/>
    <w:rsid w:val="00F51FD1"/>
    <w:rsid w:val="00F52927"/>
    <w:rsid w:val="00F713AC"/>
    <w:rsid w:val="00F7420C"/>
    <w:rsid w:val="00FA2508"/>
    <w:rsid w:val="00FA3558"/>
    <w:rsid w:val="00FA7FE7"/>
    <w:rsid w:val="00FB05D9"/>
    <w:rsid w:val="00FB6EAC"/>
    <w:rsid w:val="00FC3BBE"/>
    <w:rsid w:val="00FC53A3"/>
    <w:rsid w:val="00FD30C9"/>
    <w:rsid w:val="00FE31F2"/>
    <w:rsid w:val="00FE393E"/>
    <w:rsid w:val="00FE4853"/>
    <w:rsid w:val="00FF29E1"/>
    <w:rsid w:val="00FF4CFD"/>
    <w:rsid w:val="00FF782D"/>
    <w:rsid w:val="010D6E7D"/>
    <w:rsid w:val="01106F4B"/>
    <w:rsid w:val="05DB373D"/>
    <w:rsid w:val="05F61CD7"/>
    <w:rsid w:val="08A01C35"/>
    <w:rsid w:val="08DF0ACB"/>
    <w:rsid w:val="090F2A52"/>
    <w:rsid w:val="097C031F"/>
    <w:rsid w:val="09921232"/>
    <w:rsid w:val="0C2762F1"/>
    <w:rsid w:val="0D7C082F"/>
    <w:rsid w:val="0DEC6A21"/>
    <w:rsid w:val="0F176051"/>
    <w:rsid w:val="0F7E70AF"/>
    <w:rsid w:val="0FDA63DD"/>
    <w:rsid w:val="10F955A9"/>
    <w:rsid w:val="11B22AC1"/>
    <w:rsid w:val="12BD714C"/>
    <w:rsid w:val="13A72097"/>
    <w:rsid w:val="1462163E"/>
    <w:rsid w:val="15B83632"/>
    <w:rsid w:val="17101665"/>
    <w:rsid w:val="17DB67AF"/>
    <w:rsid w:val="19024013"/>
    <w:rsid w:val="191974BC"/>
    <w:rsid w:val="19DE51EA"/>
    <w:rsid w:val="1A27022B"/>
    <w:rsid w:val="1AA06FB1"/>
    <w:rsid w:val="1E7D56CD"/>
    <w:rsid w:val="1EFD0E66"/>
    <w:rsid w:val="1F8A227B"/>
    <w:rsid w:val="2081685B"/>
    <w:rsid w:val="22934400"/>
    <w:rsid w:val="244874C5"/>
    <w:rsid w:val="26234121"/>
    <w:rsid w:val="26956FC4"/>
    <w:rsid w:val="26967508"/>
    <w:rsid w:val="26A45A25"/>
    <w:rsid w:val="26E42464"/>
    <w:rsid w:val="28706A8B"/>
    <w:rsid w:val="288F421B"/>
    <w:rsid w:val="2926791E"/>
    <w:rsid w:val="29323A24"/>
    <w:rsid w:val="29AB0B1B"/>
    <w:rsid w:val="2A553FB8"/>
    <w:rsid w:val="2A9550F3"/>
    <w:rsid w:val="2DB627C6"/>
    <w:rsid w:val="2E483A7C"/>
    <w:rsid w:val="2FBF263A"/>
    <w:rsid w:val="311C4218"/>
    <w:rsid w:val="334B0336"/>
    <w:rsid w:val="35DE1F1F"/>
    <w:rsid w:val="36177F9B"/>
    <w:rsid w:val="3618195A"/>
    <w:rsid w:val="361B0154"/>
    <w:rsid w:val="37BF0805"/>
    <w:rsid w:val="38045A76"/>
    <w:rsid w:val="390230FB"/>
    <w:rsid w:val="39CC20F8"/>
    <w:rsid w:val="3A1C2863"/>
    <w:rsid w:val="3B156138"/>
    <w:rsid w:val="3C4845A5"/>
    <w:rsid w:val="3FDB14D0"/>
    <w:rsid w:val="41390F22"/>
    <w:rsid w:val="420E1D6F"/>
    <w:rsid w:val="42C6151D"/>
    <w:rsid w:val="43C03933"/>
    <w:rsid w:val="44DE410B"/>
    <w:rsid w:val="4534578D"/>
    <w:rsid w:val="45A75D52"/>
    <w:rsid w:val="45BE0CF0"/>
    <w:rsid w:val="471861D2"/>
    <w:rsid w:val="47790DB1"/>
    <w:rsid w:val="477E40EB"/>
    <w:rsid w:val="47A80616"/>
    <w:rsid w:val="47C11178"/>
    <w:rsid w:val="4B29194B"/>
    <w:rsid w:val="4BC42D59"/>
    <w:rsid w:val="4C263084"/>
    <w:rsid w:val="4DBD4199"/>
    <w:rsid w:val="50364896"/>
    <w:rsid w:val="506D01FF"/>
    <w:rsid w:val="50791E97"/>
    <w:rsid w:val="51501AF7"/>
    <w:rsid w:val="53EA4882"/>
    <w:rsid w:val="542B358F"/>
    <w:rsid w:val="557F6BC0"/>
    <w:rsid w:val="55CD20B4"/>
    <w:rsid w:val="567F6E75"/>
    <w:rsid w:val="579E73CD"/>
    <w:rsid w:val="5BEA0937"/>
    <w:rsid w:val="5C0B0191"/>
    <w:rsid w:val="5CB419E6"/>
    <w:rsid w:val="5CD63EBD"/>
    <w:rsid w:val="5D432672"/>
    <w:rsid w:val="5D5339AB"/>
    <w:rsid w:val="5D65375D"/>
    <w:rsid w:val="5E13247A"/>
    <w:rsid w:val="5E561395"/>
    <w:rsid w:val="607D2821"/>
    <w:rsid w:val="618033F6"/>
    <w:rsid w:val="62D1212E"/>
    <w:rsid w:val="64C508CA"/>
    <w:rsid w:val="6644109D"/>
    <w:rsid w:val="66FA66E2"/>
    <w:rsid w:val="67A14B2A"/>
    <w:rsid w:val="69665AFA"/>
    <w:rsid w:val="6A1C4324"/>
    <w:rsid w:val="6A6A4CDA"/>
    <w:rsid w:val="6A7408A5"/>
    <w:rsid w:val="6AB64522"/>
    <w:rsid w:val="6AF2370B"/>
    <w:rsid w:val="6B8538F6"/>
    <w:rsid w:val="6D4D3167"/>
    <w:rsid w:val="6EEB6D94"/>
    <w:rsid w:val="70B649FE"/>
    <w:rsid w:val="71CE631E"/>
    <w:rsid w:val="72536819"/>
    <w:rsid w:val="743F3744"/>
    <w:rsid w:val="766024C5"/>
    <w:rsid w:val="76CE73AA"/>
    <w:rsid w:val="777D3B96"/>
    <w:rsid w:val="77815E20"/>
    <w:rsid w:val="785077E3"/>
    <w:rsid w:val="786E1EC5"/>
    <w:rsid w:val="79B137F1"/>
    <w:rsid w:val="7AA2343E"/>
    <w:rsid w:val="7AAD7251"/>
    <w:rsid w:val="7AEE36FC"/>
    <w:rsid w:val="7B1624A6"/>
    <w:rsid w:val="7B857A32"/>
    <w:rsid w:val="7CA02F04"/>
    <w:rsid w:val="7DAF7958"/>
    <w:rsid w:val="7E5C44DF"/>
    <w:rsid w:val="7F4E5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color w:val="000000"/>
    </w:rPr>
  </w:style>
  <w:style w:type="paragraph" w:styleId="5">
    <w:name w:val="Normal Indent"/>
    <w:basedOn w:val="1"/>
    <w:qFormat/>
    <w:uiPriority w:val="0"/>
    <w:pPr>
      <w:ind w:firstLine="420"/>
    </w:pPr>
  </w:style>
  <w:style w:type="paragraph" w:styleId="6">
    <w:name w:val="Document Map"/>
    <w:basedOn w:val="1"/>
    <w:link w:val="25"/>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Plain Text"/>
    <w:basedOn w:val="1"/>
    <w:link w:val="22"/>
    <w:qFormat/>
    <w:uiPriority w:val="0"/>
    <w:rPr>
      <w:rFonts w:ascii="宋体" w:hAnsi="Courier New"/>
    </w:rPr>
  </w:style>
  <w:style w:type="paragraph" w:styleId="9">
    <w:name w:val="Date"/>
    <w:basedOn w:val="1"/>
    <w:next w:val="1"/>
    <w:link w:val="21"/>
    <w:qFormat/>
    <w:uiPriority w:val="0"/>
    <w:pPr>
      <w:ind w:left="100" w:leftChars="2500"/>
    </w:pPr>
    <w:rPr>
      <w:sz w:val="28"/>
    </w:rPr>
  </w:style>
  <w:style w:type="paragraph" w:styleId="10">
    <w:name w:val="Balloon Text"/>
    <w:basedOn w:val="1"/>
    <w:link w:val="31"/>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360" w:lineRule="auto"/>
      <w:ind w:left="659" w:leftChars="314"/>
    </w:pPr>
    <w:rPr>
      <w:rFonts w:ascii="宋体" w:hAnsi="宋体"/>
      <w:sz w:val="24"/>
    </w:rPr>
  </w:style>
  <w:style w:type="paragraph" w:styleId="14">
    <w:name w:val="toc 2"/>
    <w:basedOn w:val="1"/>
    <w:next w:val="1"/>
    <w:unhideWhenUsed/>
    <w:qFormat/>
    <w:uiPriority w:val="39"/>
    <w:pPr>
      <w:ind w:left="420" w:leftChars="200"/>
    </w:pPr>
    <w:rPr>
      <w:szCs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标题 2 Char"/>
    <w:basedOn w:val="16"/>
    <w:link w:val="4"/>
    <w:qFormat/>
    <w:uiPriority w:val="9"/>
    <w:rPr>
      <w:rFonts w:asciiTheme="majorHAnsi" w:hAnsiTheme="majorHAnsi" w:eastAsiaTheme="majorEastAsia" w:cstheme="majorBidi"/>
      <w:b/>
      <w:bCs/>
      <w:sz w:val="32"/>
      <w:szCs w:val="32"/>
    </w:rPr>
  </w:style>
  <w:style w:type="character" w:customStyle="1" w:styleId="19">
    <w:name w:val="标题 1 Char"/>
    <w:basedOn w:val="16"/>
    <w:link w:val="3"/>
    <w:qFormat/>
    <w:uiPriority w:val="9"/>
    <w:rPr>
      <w:rFonts w:ascii="Times New Roman" w:hAnsi="Times New Roman" w:eastAsia="宋体" w:cs="Times New Roman"/>
      <w:b/>
      <w:bCs/>
      <w:kern w:val="44"/>
      <w:sz w:val="44"/>
      <w:szCs w:val="44"/>
    </w:rPr>
  </w:style>
  <w:style w:type="character" w:customStyle="1" w:styleId="20">
    <w:name w:val="正文文本 Char"/>
    <w:basedOn w:val="16"/>
    <w:link w:val="2"/>
    <w:qFormat/>
    <w:uiPriority w:val="0"/>
    <w:rPr>
      <w:rFonts w:ascii="Times New Roman" w:hAnsi="Times New Roman" w:eastAsia="宋体" w:cs="Times New Roman"/>
      <w:color w:val="000000"/>
      <w:szCs w:val="20"/>
    </w:rPr>
  </w:style>
  <w:style w:type="character" w:customStyle="1" w:styleId="21">
    <w:name w:val="日期 Char"/>
    <w:basedOn w:val="16"/>
    <w:link w:val="9"/>
    <w:qFormat/>
    <w:uiPriority w:val="0"/>
    <w:rPr>
      <w:rFonts w:ascii="Times New Roman" w:hAnsi="Times New Roman" w:eastAsia="宋体" w:cs="Times New Roman"/>
      <w:sz w:val="28"/>
      <w:szCs w:val="20"/>
    </w:rPr>
  </w:style>
  <w:style w:type="character" w:customStyle="1" w:styleId="22">
    <w:name w:val="纯文本 Char"/>
    <w:basedOn w:val="16"/>
    <w:link w:val="8"/>
    <w:qFormat/>
    <w:uiPriority w:val="0"/>
    <w:rPr>
      <w:rFonts w:ascii="宋体" w:hAnsi="Courier New" w:eastAsia="宋体" w:cs="Times New Roman"/>
      <w:szCs w:val="20"/>
    </w:rPr>
  </w:style>
  <w:style w:type="character" w:customStyle="1" w:styleId="23">
    <w:name w:val="页眉 Char"/>
    <w:basedOn w:val="16"/>
    <w:link w:val="12"/>
    <w:qFormat/>
    <w:uiPriority w:val="99"/>
    <w:rPr>
      <w:rFonts w:ascii="Times New Roman" w:hAnsi="Times New Roman" w:eastAsia="宋体" w:cs="Times New Roman"/>
      <w:sz w:val="18"/>
      <w:szCs w:val="18"/>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文档结构图 Char"/>
    <w:basedOn w:val="16"/>
    <w:link w:val="6"/>
    <w:semiHidden/>
    <w:qFormat/>
    <w:uiPriority w:val="99"/>
    <w:rPr>
      <w:rFonts w:ascii="宋体" w:hAnsi="Times New Roman" w:eastAsia="宋体" w:cs="Times New Roman"/>
      <w:sz w:val="18"/>
      <w:szCs w:val="18"/>
    </w:rPr>
  </w:style>
  <w:style w:type="paragraph" w:customStyle="1" w:styleId="26">
    <w:name w:val="列出段落1"/>
    <w:basedOn w:val="1"/>
    <w:link w:val="27"/>
    <w:qFormat/>
    <w:uiPriority w:val="34"/>
    <w:pPr>
      <w:ind w:firstLine="420" w:firstLineChars="200"/>
    </w:pPr>
    <w:rPr>
      <w:sz w:val="24"/>
      <w:szCs w:val="24"/>
    </w:rPr>
  </w:style>
  <w:style w:type="character" w:customStyle="1" w:styleId="27">
    <w:name w:val="列出段落 Char"/>
    <w:link w:val="26"/>
    <w:qFormat/>
    <w:uiPriority w:val="34"/>
    <w:rPr>
      <w:rFonts w:ascii="Times New Roman" w:hAnsi="Times New Roman" w:eastAsia="宋体" w:cs="Times New Roman"/>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FZXiaoBiaoSong-B05S" w:hAnsi="Calibri" w:eastAsia="FZXiaoBiaoSong-B05S" w:cs="FZXiaoBiaoSong-B05S"/>
      <w:color w:val="000000"/>
      <w:sz w:val="24"/>
      <w:szCs w:val="24"/>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批注框文本 Char"/>
    <w:basedOn w:val="16"/>
    <w:link w:val="10"/>
    <w:semiHidden/>
    <w:qFormat/>
    <w:uiPriority w:val="99"/>
    <w:rPr>
      <w:rFonts w:ascii="Times New Roman" w:hAnsi="Times New Roman" w:eastAsia="宋体" w:cs="Times New Roman"/>
      <w:sz w:val="18"/>
      <w:szCs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Document1.doc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4917</Words>
  <Characters>28033</Characters>
  <Lines>233</Lines>
  <Paragraphs>65</Paragraphs>
  <TotalTime>32</TotalTime>
  <ScaleCrop>false</ScaleCrop>
  <LinksUpToDate>false</LinksUpToDate>
  <CharactersWithSpaces>32885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2023-12-26T05:21:00Z</dcterms:created>
  <dc:creator>Administrator</dc:creator>
  <cp:lastModifiedBy>administrator</cp:lastModifiedBy>
  <dcterms:modified xsi:type="dcterms:W3CDTF">2025-06-04T05:48:18Z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153CBC5B730E427BB57A2F53BD78C177</vt:lpwstr>
  </property>
</Properties>
</file>